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hd w:val="clear" w:color="auto" w:fill="auto"/>
        <w:spacing w:after="0" w:line="240" w:lineRule="auto"/>
        <w:ind w:right="260" w:firstLine="580"/>
        <w:jc w:val="center"/>
      </w:pPr>
    </w:p>
    <w:p>
      <w:pPr>
        <w:pStyle w:val="8"/>
        <w:shd w:val="clear" w:color="auto" w:fill="auto"/>
        <w:spacing w:after="0" w:line="240" w:lineRule="auto"/>
        <w:jc w:val="center"/>
        <w:rPr>
          <w:rFonts w:hint="default"/>
          <w:b w:val="0"/>
          <w:lang w:val="ru-RU"/>
        </w:rPr>
      </w:pPr>
      <w:r>
        <w:rPr>
          <w:rFonts w:hint="default"/>
          <w:lang w:val="ru-RU"/>
        </w:rPr>
        <w:t xml:space="preserve"> </w:t>
      </w:r>
    </w:p>
    <w:p>
      <w:pPr>
        <w:pStyle w:val="8"/>
        <w:shd w:val="clear" w:color="auto" w:fill="auto"/>
        <w:spacing w:after="0" w:line="240" w:lineRule="auto"/>
        <w:jc w:val="center"/>
        <w:rPr>
          <w:rFonts w:hint="default"/>
          <w:b w:val="0"/>
          <w:lang w:val="ru-RU"/>
        </w:rPr>
      </w:pPr>
      <w:r>
        <w:rPr>
          <w:b/>
          <w:bCs w:val="0"/>
        </w:rPr>
        <w:t>АДМИНИСТРАЦИЯ СЕЛЬСКОГО ПОСЕЛЕНИЯ «ГАЛКИНСКОЕ</w:t>
      </w:r>
      <w:r>
        <w:rPr>
          <w:rFonts w:hint="default"/>
          <w:b/>
          <w:bCs w:val="0"/>
          <w:lang w:val="ru-RU"/>
        </w:rPr>
        <w:t>»</w:t>
      </w:r>
    </w:p>
    <w:p>
      <w:pPr>
        <w:pStyle w:val="8"/>
        <w:shd w:val="clear" w:color="auto" w:fill="auto"/>
        <w:spacing w:after="0" w:line="240" w:lineRule="auto"/>
        <w:jc w:val="center"/>
        <w:rPr>
          <w:b w:val="0"/>
        </w:rPr>
      </w:pPr>
    </w:p>
    <w:p>
      <w:pPr>
        <w:pStyle w:val="8"/>
        <w:shd w:val="clear" w:color="auto" w:fill="auto"/>
        <w:spacing w:after="0" w:line="240" w:lineRule="auto"/>
        <w:jc w:val="center"/>
        <w:rPr>
          <w:b/>
          <w:bCs w:val="0"/>
          <w:sz w:val="28"/>
          <w:szCs w:val="28"/>
        </w:rPr>
        <w:sectPr>
          <w:type w:val="continuous"/>
          <w:pgSz w:w="11906" w:h="16838"/>
          <w:pgMar w:top="1134" w:right="850" w:bottom="1134" w:left="1701" w:header="0" w:footer="3" w:gutter="0"/>
          <w:cols w:space="720" w:num="1"/>
          <w:docGrid w:linePitch="360" w:charSpace="0"/>
        </w:sectPr>
      </w:pPr>
      <w:r>
        <w:rPr>
          <w:b/>
          <w:bCs w:val="0"/>
          <w:sz w:val="28"/>
          <w:szCs w:val="28"/>
        </w:rPr>
        <w:t>ПОСТАНОВЛЕНИЕ</w:t>
      </w:r>
    </w:p>
    <w:p>
      <w:pPr>
        <w:jc w:val="center"/>
        <w:rPr>
          <w:sz w:val="19"/>
          <w:szCs w:val="19"/>
        </w:rPr>
      </w:pPr>
    </w:p>
    <w:p>
      <w:pPr>
        <w:spacing w:before="33" w:after="33" w:line="240" w:lineRule="exact"/>
        <w:rPr>
          <w:sz w:val="19"/>
          <w:szCs w:val="19"/>
        </w:rPr>
      </w:pPr>
    </w:p>
    <w:p>
      <w:pPr>
        <w:ind w:left="1701"/>
        <w:rPr>
          <w:rFonts w:ascii="Times New Roman" w:hAnsi="Times New Roman" w:cs="Times New Roman"/>
        </w:rPr>
        <w:sectPr>
          <w:type w:val="continuous"/>
          <w:pgSz w:w="11906" w:h="16838"/>
          <w:pgMar w:top="0" w:right="0" w:bottom="0" w:left="0" w:header="0" w:footer="3" w:gutter="0"/>
          <w:cols w:space="720" w:num="1"/>
          <w:docGrid w:linePitch="360" w:charSpace="0"/>
        </w:sectPr>
      </w:pPr>
    </w:p>
    <w:p>
      <w:pPr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>
        <w:rPr>
          <w:rFonts w:hint="default" w:ascii="Times New Roman" w:hAnsi="Times New Roman" w:cs="Times New Roman"/>
          <w:lang w:val="ru-RU"/>
        </w:rPr>
        <w:t xml:space="preserve">15 июня </w:t>
      </w:r>
      <w:r>
        <w:rPr>
          <w:rFonts w:ascii="Times New Roman" w:hAnsi="Times New Roman" w:cs="Times New Roman"/>
        </w:rPr>
        <w:t xml:space="preserve">2021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lang w:val="ru-RU"/>
        </w:rPr>
        <w:t xml:space="preserve">       </w:t>
      </w:r>
      <w:r>
        <w:rPr>
          <w:rFonts w:ascii="Times New Roman" w:hAnsi="Times New Roman" w:cs="Times New Roman"/>
        </w:rPr>
        <w:t xml:space="preserve">№ </w:t>
      </w:r>
      <w:r>
        <w:rPr>
          <w:rFonts w:hint="default" w:ascii="Times New Roman" w:hAnsi="Times New Roman" w:cs="Times New Roman"/>
          <w:lang w:val="ru-RU"/>
        </w:rPr>
        <w:t>24</w:t>
      </w:r>
      <w:r>
        <w:rPr>
          <w:rFonts w:ascii="Times New Roman" w:hAnsi="Times New Roman" w:cs="Times New Roman"/>
        </w:rPr>
        <w:t xml:space="preserve"> </w:t>
      </w:r>
    </w:p>
    <w:p>
      <w:pPr>
        <w:autoSpaceDE w:val="0"/>
        <w:rPr>
          <w:rFonts w:ascii="Times New Roman" w:hAnsi="Times New Roman" w:cs="Times New Roman"/>
        </w:rPr>
      </w:pPr>
    </w:p>
    <w:p>
      <w:pPr>
        <w:autoSpaceDE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с.Галкино</w:t>
      </w:r>
    </w:p>
    <w:p>
      <w:pPr>
        <w:autoSpaceDE w:val="0"/>
        <w:jc w:val="center"/>
        <w:rPr>
          <w:rFonts w:ascii="Times New Roman" w:hAnsi="Times New Roman" w:cs="Times New Roman"/>
        </w:rPr>
      </w:pPr>
    </w:p>
    <w:p>
      <w:pPr>
        <w:autoSpaceDE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 утверждении Положения о системе управления охраной труда в администрации</w:t>
      </w:r>
    </w:p>
    <w:p>
      <w:pPr>
        <w:autoSpaceDE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сельского поселения «Галкинское»</w:t>
      </w:r>
    </w:p>
    <w:p>
      <w:pPr>
        <w:pStyle w:val="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>
      <w:pPr>
        <w:pStyle w:val="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>
      <w:pPr>
        <w:pStyle w:val="24"/>
        <w:ind w:firstLine="709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соответствии с Трудовым кодексом РФ, в целях обеспечения здоровых и безопасных условий труда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, Администрация сельского поселения «Галкинское», постановляет:</w:t>
      </w:r>
    </w:p>
    <w:p>
      <w:pPr>
        <w:jc w:val="both"/>
        <w:outlineLvl w:val="0"/>
        <w:rPr>
          <w:rFonts w:ascii="Times New Roman" w:hAnsi="Times New Roman" w:cs="Times New Roman"/>
        </w:rPr>
      </w:pPr>
    </w:p>
    <w:p>
      <w:pPr>
        <w:widowControl/>
        <w:numPr>
          <w:ilvl w:val="0"/>
          <w:numId w:val="1"/>
        </w:numPr>
        <w:suppressAutoHyphens/>
        <w:autoSpaceDE w:val="0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Утвердить Положение о системе управления охраной труда сельского поселения «Галкинское»</w:t>
      </w:r>
    </w:p>
    <w:p>
      <w:pPr>
        <w:autoSpaceDE w:val="0"/>
        <w:ind w:left="709"/>
        <w:jc w:val="both"/>
        <w:rPr>
          <w:rFonts w:ascii="Times New Roman" w:hAnsi="Times New Roman" w:cs="Times New Roman"/>
        </w:rPr>
      </w:pPr>
    </w:p>
    <w:p>
      <w:pPr>
        <w:widowControl/>
        <w:numPr>
          <w:ilvl w:val="0"/>
          <w:numId w:val="1"/>
        </w:numPr>
        <w:suppressAutoHyphens/>
        <w:autoSpaceDE w:val="0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Ответственному за охрану труда ознакомить всех работников администрации сельского поселения «Галкинское»</w:t>
      </w:r>
    </w:p>
    <w:p>
      <w:pPr>
        <w:autoSpaceDE w:val="0"/>
        <w:ind w:left="709"/>
        <w:jc w:val="both"/>
        <w:rPr>
          <w:rFonts w:ascii="Times New Roman" w:hAnsi="Times New Roman" w:cs="Times New Roman"/>
        </w:rPr>
      </w:pPr>
    </w:p>
    <w:p>
      <w:pPr>
        <w:widowControl/>
        <w:numPr>
          <w:ilvl w:val="0"/>
          <w:numId w:val="1"/>
        </w:numPr>
        <w:suppressAutoHyphens/>
        <w:autoSpaceDE w:val="0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Данное постановление обнародовать на информационных стендах в администрации, библиотеках с.Галкино,с.Зубарево,с.Савино  и на официальном сайте «галкинское.рф»</w:t>
      </w:r>
    </w:p>
    <w:p>
      <w:pPr>
        <w:autoSpaceDE w:val="0"/>
        <w:ind w:left="709"/>
        <w:jc w:val="both"/>
        <w:rPr>
          <w:rFonts w:ascii="Times New Roman" w:hAnsi="Times New Roman" w:cs="Times New Roman"/>
        </w:rPr>
      </w:pPr>
    </w:p>
    <w:p>
      <w:pPr>
        <w:pStyle w:val="25"/>
        <w:jc w:val="both"/>
        <w:rPr>
          <w:bCs/>
          <w:highlight w:val="green"/>
        </w:rPr>
      </w:pPr>
    </w:p>
    <w:p>
      <w:pPr>
        <w:pStyle w:val="25"/>
        <w:jc w:val="both"/>
        <w:rPr>
          <w:highlight w:val="green"/>
        </w:rPr>
      </w:pPr>
    </w:p>
    <w:p>
      <w:pPr>
        <w:pStyle w:val="25"/>
        <w:jc w:val="both"/>
        <w:rPr>
          <w:highlight w:val="green"/>
        </w:rPr>
      </w:pPr>
    </w:p>
    <w:p>
      <w:pPr>
        <w:pStyle w:val="25"/>
        <w:jc w:val="both"/>
        <w:rPr>
          <w:highlight w:val="green"/>
        </w:rPr>
      </w:pPr>
    </w:p>
    <w:p>
      <w:pPr>
        <w:pStyle w:val="25"/>
        <w:jc w:val="both"/>
        <w:rPr>
          <w:highlight w:val="green"/>
        </w:rPr>
      </w:pPr>
    </w:p>
    <w:p>
      <w:pPr>
        <w:pStyle w:val="25"/>
        <w:jc w:val="both"/>
      </w:pPr>
      <w:r>
        <w:t>Глава сельского поселения «Галкинское»</w:t>
      </w:r>
      <w:r>
        <w:tab/>
      </w:r>
      <w:r>
        <w:t xml:space="preserve">                </w:t>
      </w:r>
      <w:r>
        <w:rPr>
          <w:rFonts w:hint="default"/>
          <w:lang w:val="ru-RU"/>
        </w:rPr>
        <w:t xml:space="preserve">             </w:t>
      </w:r>
      <w:r>
        <w:t xml:space="preserve">   </w:t>
      </w:r>
      <w:r>
        <w:rPr>
          <w:rFonts w:hint="default"/>
          <w:lang w:val="ru-RU"/>
        </w:rPr>
        <w:t xml:space="preserve">     </w:t>
      </w:r>
      <w:bookmarkStart w:id="8" w:name="_GoBack"/>
      <w:bookmarkEnd w:id="8"/>
      <w:r>
        <w:t xml:space="preserve"> И.В.Миронов</w:t>
      </w: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</w:p>
    <w:p>
      <w:pPr>
        <w:autoSpaceDE w:val="0"/>
        <w:ind w:left="3969"/>
        <w:jc w:val="center"/>
        <w:rPr>
          <w:rFonts w:ascii="Times New Roman" w:hAnsi="Times New Roman" w:cs="Times New Roman"/>
        </w:rPr>
      </w:pPr>
    </w:p>
    <w:p>
      <w:pPr>
        <w:autoSpaceDE w:val="0"/>
        <w:ind w:left="3969"/>
        <w:jc w:val="center"/>
        <w:rPr>
          <w:rFonts w:ascii="Times New Roman" w:hAnsi="Times New Roman" w:cs="Times New Roman"/>
        </w:rPr>
      </w:pPr>
    </w:p>
    <w:p>
      <w:pPr>
        <w:autoSpaceDE w:val="0"/>
        <w:ind w:left="3969"/>
        <w:jc w:val="center"/>
        <w:rPr>
          <w:rFonts w:ascii="Times New Roman" w:hAnsi="Times New Roman" w:cs="Times New Roman"/>
        </w:rPr>
      </w:pPr>
    </w:p>
    <w:p>
      <w:pPr>
        <w:autoSpaceDE w:val="0"/>
        <w:ind w:left="3969"/>
        <w:jc w:val="center"/>
        <w:rPr>
          <w:rFonts w:ascii="Times New Roman" w:hAnsi="Times New Roman" w:cs="Times New Roman"/>
        </w:rPr>
      </w:pPr>
    </w:p>
    <w:p>
      <w:pPr>
        <w:autoSpaceDE w:val="0"/>
        <w:ind w:left="3969"/>
        <w:jc w:val="center"/>
        <w:rPr>
          <w:rFonts w:ascii="Times New Roman" w:hAnsi="Times New Roman" w:cs="Times New Roman"/>
        </w:rPr>
      </w:pPr>
    </w:p>
    <w:p>
      <w:pPr>
        <w:autoSpaceDE w:val="0"/>
        <w:ind w:left="3969"/>
        <w:jc w:val="center"/>
        <w:rPr>
          <w:rFonts w:ascii="Times New Roman" w:hAnsi="Times New Roman" w:cs="Times New Roman"/>
        </w:rPr>
      </w:pPr>
    </w:p>
    <w:p>
      <w:pPr>
        <w:autoSpaceDE w:val="0"/>
        <w:ind w:left="3969"/>
        <w:jc w:val="center"/>
        <w:rPr>
          <w:rFonts w:ascii="Times New Roman" w:hAnsi="Times New Roman" w:cs="Times New Roman"/>
        </w:rPr>
      </w:pP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к</w:t>
      </w: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постановлению администрации</w:t>
      </w: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</w:t>
      </w: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«Галкинское»</w:t>
      </w:r>
    </w:p>
    <w:p>
      <w:pPr>
        <w:autoSpaceDE w:val="0"/>
        <w:ind w:left="3969"/>
        <w:jc w:val="right"/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 xml:space="preserve">от </w:t>
      </w:r>
      <w:r>
        <w:rPr>
          <w:rFonts w:hint="default" w:ascii="Times New Roman" w:hAnsi="Times New Roman" w:cs="Times New Roman"/>
          <w:lang w:val="ru-RU"/>
        </w:rPr>
        <w:t>15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июня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 xml:space="preserve">2021  № </w:t>
      </w:r>
      <w:r>
        <w:rPr>
          <w:rFonts w:hint="default" w:ascii="Times New Roman" w:hAnsi="Times New Roman" w:cs="Times New Roman"/>
          <w:lang w:val="ru-RU"/>
        </w:rPr>
        <w:t>24</w:t>
      </w:r>
    </w:p>
    <w:p>
      <w:pPr>
        <w:autoSpaceDE w:val="0"/>
        <w:jc w:val="right"/>
        <w:rPr>
          <w:rFonts w:ascii="Times New Roman" w:hAnsi="Times New Roman" w:cs="Times New Roman"/>
        </w:rPr>
      </w:pPr>
    </w:p>
    <w:p>
      <w:pPr>
        <w:autoSpaceDE w:val="0"/>
        <w:jc w:val="both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ПОЛОЖЕНИЕ</w:t>
      </w:r>
    </w:p>
    <w:p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о системе управления охраной труда в администрации </w:t>
      </w:r>
      <w:bookmarkStart w:id="0" w:name="_Toc382306224"/>
    </w:p>
    <w:p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сельского поселения «Галкинское»</w:t>
      </w:r>
    </w:p>
    <w:p>
      <w:pPr>
        <w:jc w:val="center"/>
        <w:rPr>
          <w:rFonts w:ascii="Times New Roman" w:hAnsi="Times New Roman" w:cs="Times New Roman"/>
        </w:rPr>
      </w:pPr>
    </w:p>
    <w:p>
      <w:pPr>
        <w:pStyle w:val="2"/>
        <w:keepNext w:val="0"/>
        <w:widowControl w:val="0"/>
        <w:suppressAutoHyphens w:val="0"/>
        <w:autoSpaceDE w:val="0"/>
        <w:autoSpaceDN w:val="0"/>
        <w:adjustRightInd w:val="0"/>
        <w:spacing w:before="0" w:after="120"/>
        <w:ind w:left="720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Style w:val="26"/>
          <w:rFonts w:ascii="Times New Roman" w:hAnsi="Times New Roman" w:cs="Times New Roman"/>
          <w:b/>
          <w:bCs w:val="0"/>
          <w:color w:val="auto"/>
          <w:sz w:val="24"/>
          <w:szCs w:val="24"/>
        </w:rPr>
        <w:t>1. ОБЩИЕ ПОЛОЖЕНИЯ</w:t>
      </w:r>
      <w:bookmarkEnd w:id="0"/>
    </w:p>
    <w:p>
      <w:pPr>
        <w:pStyle w:val="24"/>
        <w:tabs>
          <w:tab w:val="left" w:pos="540"/>
        </w:tabs>
        <w:adjustRightInd w:val="0"/>
        <w:spacing w:before="20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1.1.Настоящее Положение разработано в соответствии с Трудовым кодексом Российской Федерации, Типовым положением о системе управления охраной труда, утвержденным приказом Министерства труда и  социальной защиты  Российской Федерации от 19 августа 2016 года № 438н, требованиями ГОСТ 12.0.230-2007. Межгосударственный стандарт. Система стандартов безопасности труда. Системы управления охраной труда. Общие требования (введен в действие Приказом Ростехрегулирования от 10.07.2007 N169-ст), ГОСТ 12.0.230.1-2015. Межгосударственный стандарт. Система стандартов безопасности труда. Системы управления охраной труда. Руководство по применению ГОСТ 12.0.230-2007 (введен в действие Приказом Росстандарта от 09.06.2016 N601-ст).</w:t>
      </w: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Calibri" w:cs="Times New Roman"/>
          <w:lang w:eastAsia="en-US"/>
        </w:rPr>
        <w:t xml:space="preserve">1.2.Система управления охраной труда (далее - СУОТ) - комплекс взаимосвязанных и взаимодействующих между собой элементов, устанавливающих политику и цели в области охраны труда в </w:t>
      </w:r>
      <w:r>
        <w:rPr>
          <w:rFonts w:ascii="Times New Roman" w:hAnsi="Times New Roman" w:cs="Times New Roman"/>
        </w:rPr>
        <w:t>администрации сельского поселения «Галкинское»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(далее – Администрация, работодатель)</w:t>
      </w:r>
      <w:r>
        <w:rPr>
          <w:rFonts w:ascii="Times New Roman" w:hAnsi="Times New Roman" w:eastAsia="Calibri" w:cs="Times New Roman"/>
          <w:lang w:eastAsia="en-US"/>
        </w:rPr>
        <w:t xml:space="preserve"> и процедуры по достижению этих целей.</w:t>
      </w: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1.3.СУОТ представляет собой единство:</w:t>
      </w: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организационных структур управления работодателя с фиксированными обязанностями его должностных лиц;</w:t>
      </w:r>
    </w:p>
    <w:p>
      <w:pPr>
        <w:pStyle w:val="2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процедур и порядков функционирования СУОТ, включая планирование и реализацию мероприятий по улучшению условий труда и организации работ по охране труда;</w:t>
      </w:r>
    </w:p>
    <w:p>
      <w:pPr>
        <w:pStyle w:val="2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устанавливающей (нормативные правовые акты работодателя) и фиксирующей (журналы, акты, записи) документации.</w:t>
      </w: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1.4.Действие СУОТ распространяется на всей территории, во всех зданиях и сооружениях работодателя.</w:t>
      </w: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1.5.Требования СУОТ обязательны для всех работников, работающих у работодателя, и являются обязательными для всех лиц, находящихся на территории, в зданиях и сооружениях работодателя.</w:t>
      </w:r>
    </w:p>
    <w:p>
      <w:pPr>
        <w:spacing w:after="12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1.6.Основой организации и функционирования СУОТ является положение о СУОТ, разрабатываемое работодателем самостоятельно и утверждаемое постановлением Администрации с учетом мнения работников.</w:t>
      </w:r>
    </w:p>
    <w:p>
      <w:pPr>
        <w:pStyle w:val="2"/>
        <w:keepNext w:val="0"/>
        <w:widowControl w:val="0"/>
        <w:suppressAutoHyphens w:val="0"/>
        <w:autoSpaceDE w:val="0"/>
        <w:autoSpaceDN w:val="0"/>
        <w:adjustRightInd w:val="0"/>
        <w:spacing w:before="0" w:after="120"/>
        <w:ind w:firstLine="567"/>
        <w:jc w:val="both"/>
        <w:rPr>
          <w:rStyle w:val="26"/>
          <w:rFonts w:ascii="Times New Roman" w:hAnsi="Times New Roman" w:cs="Times New Roman"/>
          <w:b/>
          <w:bCs w:val="0"/>
          <w:color w:val="auto"/>
          <w:sz w:val="24"/>
          <w:szCs w:val="24"/>
        </w:rPr>
      </w:pPr>
      <w:bookmarkStart w:id="1" w:name="_Toc382306225"/>
      <w:bookmarkStart w:id="2" w:name="sub_2"/>
      <w:r>
        <w:rPr>
          <w:rStyle w:val="26"/>
          <w:rFonts w:ascii="Times New Roman" w:hAnsi="Times New Roman" w:cs="Times New Roman"/>
          <w:b/>
          <w:bCs w:val="0"/>
          <w:color w:val="auto"/>
          <w:sz w:val="24"/>
          <w:szCs w:val="24"/>
        </w:rPr>
        <w:t>2. ПОЛИТИКА РАБОТОДАТЕЛЯ В ОБЛАСТИ ОХРАНЫ ТРУДА</w:t>
      </w:r>
      <w:bookmarkEnd w:id="1"/>
    </w:p>
    <w:bookmarkEnd w:id="2"/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Политика работодателя в области охраны труда (далее - Политика по охране труда) является публичной документированной декларацией работодателя о намерении и гарантированном выполнении им обязанностей по соблюдению государственных нормативных требований охраны труда и добровольно принятых на себя обязательств.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Политика по охране труда обеспечивает: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приоритет сохранения жизни и здоровья работников в процессе их трудовой деятельности;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соответствие условий труда на рабочих местах требованиям охраны труда;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выполнение последовательных и непрерывных мер (мероприятий) по предупреждению происшествий и случаев ухудшения состояния здоровья работников, производственного травматизма и профессиональных заболеваний, в том числе посредством управления профессиональными рисками;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учет индивидуальных особенностей работников, в том числе посредством проектирования рабочих мест, выбора оборудования, инструментов, сырья и материалов, средств индивидуальной и коллективной защиты, построения производственных и технологических процессов;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непрерывное совершенствование и повышение эффективности СУОТ;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обязательное привлечение работников, уполномоченных ими представительных органов к участию в управлении охраной труда и обеспечении условий труда, соответствующих требованиям охраны труда, посредством необходимого ресурсного обеспечения и поощрения такого участия;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личную заинтересованность в обеспечении, насколько это возможно, безопасных условий труда;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выполнение иных обязанностей в области охраны труда исходя из специфики своей деятельности.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В Политике по охране труда отражаются: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положения о соответствии условий труда на рабочих местах работодателя требованиям охраны труда;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обязательства работодателя по предотвращению травматизма и ухудшения здоровья работников;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положения об учете специфики деятельности работодателя и вида (видов) осуществляемой им экономической деятельности, обусловливающих уровень профессиональных рисков работников;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порядок совершенствования функционирования СУОТ.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При определении Политики по охране труда работодатель обеспечивает совместно с работниками и (или) уполномоченными ими представительными органами предварительный анализ состояния охраны труда у работодателя и обсуждение Политики по охране труда.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Политика по охране труда должна быть доступна всем работникам, работающим у работодателя, а также иным лицам, находящимся на территории, в зданиях и сооружениях работодателя.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24"/>
        <w:spacing w:after="120"/>
        <w:ind w:firstLine="567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ЦЕЛИ РАБОТОДАТЕЛЯ В ОБЛАСТИ ОХРАНЫ ТРУДА</w:t>
      </w:r>
    </w:p>
    <w:p>
      <w:pPr>
        <w:pStyle w:val="24"/>
        <w:spacing w:after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Основные цели работодателя в области охраны труда (далее - цели) содержатся в Политике по охране труда и достигаются путем реализации работодателем процедур, предусмотренных разделом 5 настоящего Положения.</w:t>
      </w:r>
    </w:p>
    <w:p>
      <w:pPr>
        <w:pStyle w:val="24"/>
        <w:spacing w:after="12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ОБЕСПЕЧЕНИЕ ФУНКЦИОНИРОВАНИЯ СУОТ</w:t>
      </w:r>
      <w:bookmarkStart w:id="3" w:name="_Toc382306227"/>
      <w:bookmarkStart w:id="4" w:name="sub_3"/>
    </w:p>
    <w:p>
      <w:pPr>
        <w:pStyle w:val="24"/>
        <w:ind w:firstLine="539"/>
        <w:jc w:val="both"/>
        <w:rPr>
          <w:rStyle w:val="26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Style w:val="26"/>
          <w:rFonts w:ascii="Times New Roman" w:hAnsi="Times New Roman" w:cs="Times New Roman"/>
          <w:b w:val="0"/>
          <w:color w:val="auto"/>
          <w:sz w:val="24"/>
          <w:szCs w:val="24"/>
        </w:rPr>
        <w:t>4.1.Структура системы управления охраной труда</w:t>
      </w:r>
      <w:bookmarkEnd w:id="3"/>
      <w:r>
        <w:rPr>
          <w:rStyle w:val="26"/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bookmarkEnd w:id="4"/>
    <w:p>
      <w:pPr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4.1.1.Организационно система управления охраной труда является двухуровневой.</w:t>
      </w:r>
    </w:p>
    <w:p>
      <w:pPr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4.1.2.Управление охраной труда на первом уровне в соответствии с имеющимися полномочиями осуществляет работодатель в лице главы Администрации.</w:t>
      </w:r>
    </w:p>
    <w:p>
      <w:pPr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4.1.3.Управление охраной труда на втором уровне в соответствии с имеющимися полномочиями осуществляют руководители структурных подразделений Администрации.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4.1.4. Порядок организации работы и должностные обязанности по охране труда в Администрации определяется ее Положением, Правилами внутреннего трудового распорядка, Положением об охране труда, должностными инструкциями и в соответствии с требованиями настоящего Положения.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 первом уровне устанавливаются обязанности в сфере охраны труда: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руководителей структурных подразделений;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ответственного за охрану труда в Администрации.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На втором уровне устанавливаются обязанности в сфере охраны труда:</w:t>
      </w:r>
    </w:p>
    <w:p>
      <w:pPr>
        <w:pStyle w:val="24"/>
        <w:spacing w:after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работников Администрации.</w:t>
      </w:r>
    </w:p>
    <w:p>
      <w:pPr>
        <w:pStyle w:val="24"/>
        <w:spacing w:after="12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ПРОЦЕДУРЫ, НАПРАВЛЕННЫЕ НА ДОСТИЖЕНИЕ ЦЕЛЕЙ РАБОТОДАТЕЛЯ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С целью организации процедуры подготовки работников по охране труда в Администрации определены: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требования к необходимой профессиональной компетентности по охране труда работников, ее проверке, поддержанию и развитию;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перечень должностей работников, проходящих подготовку по охране труда в обучающих организациях;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перечень должностей работников, проходящих подготовку по охране труда у работодателя;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перечень должностей работников, освобожденных от прохождения первичного инструктажа на рабочем месте;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работники, ответственные за проведение инструктажа по охране труда на рабочем месте в структурных подразделениях работодателя;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вопросы, включаемые в программу инструктажа по охране труда;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состав комиссии работодателя по проверке знаний требований охраны труда;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регламент работы комиссии работодателя по проверке знаний требований охраны труда;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перечень вопросов по охране труда, по которым работники проходят проверку знаний в комиссии работодателя;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порядок организации подготовки по вопросам оказания первой помощи пострадавшим в результате аварий и несчастных случаев на производстве;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порядок организации и проведения инструктажа по охране труда;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В ходе организации процедуры подготовки работников по охране труда учитывается необходимость подготовки работников исходя из характера и содержания выполняемых ими работ, имеющейся у них квалификации и компетентности, необходимых для безопасного выполнения своих должностных обязанностей.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С целью организации процедуры организации и проведения оценки условий труда Администрацией установлены: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порядок создания и функционирования комиссии по проведению специальной оценки условий труда, а также права, обязанности и ответственность ее членов;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особенности функционирования комиссии по проведению специальной оценки условий труда в структурных подразделений с образованием юридического лица.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организационный порядок проведения специальной оценки условий труда на рабочих местах работодателя в части деятельности комиссии по проведению специальной оценки условий труда;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порядок урегулирования споров по вопросам специальной оценки условий труда;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порядок использования результатов специальной оценки условий труда.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С целью организации процедуры управления профессиональными рисками работодателем устанавливается порядок реализации следующих мероприятий по управлению профессиональными рисками: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выявление опасностей;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оценка уровней профессиональных рисков;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снижение уровней профессиональных рисков.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Идентификация опасностей, представляющих угрозу жизни и здоровью работников, и составление их перечня осуществляются работодателем с привлечением ответственного за охрану труда в Администрации, работников Администрации.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306"/>
      <w:bookmarkEnd w:id="5"/>
      <w:r>
        <w:rPr>
          <w:rFonts w:ascii="Times New Roman" w:hAnsi="Times New Roman" w:cs="Times New Roman"/>
          <w:sz w:val="24"/>
          <w:szCs w:val="24"/>
        </w:rPr>
        <w:t>5.6. В качестве опасностей, представляющих угрозу жизни и здоровью работников, работодатель рассматривает следующие: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механические опасности: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опасность падения из-за потери равновесия, в том числе при спотыкании или подскальзывании, при передвижении по скользким поверхностям или мокрым полам;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опасность пореза частей тела, в том числе кромкой листа бумаги, канцелярским ножом, ножницами;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опасность травмирования, в том числе снегом и (или) льдом, упавшими с крыш зданий и сооружений;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опасности, связанные с воздействием тяжести и напряженности трудового процесса: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опасность перенапряжения зрительного анализатора;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опасности, связанные с воздействием световой среды: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опасность недостаточной освещенности в рабочей зоне.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5.7. К мерам по исключению или снижению уровней профессиональных рисков относятся: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исключение опасной работы (процедуры);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замена опасной работы (процедуры) менее опасной;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реализация административных методов ограничения времени воздействия опасностей на работников.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503"/>
      <w:bookmarkEnd w:id="6"/>
      <w:r>
        <w:rPr>
          <w:rFonts w:ascii="Times New Roman" w:hAnsi="Times New Roman" w:cs="Times New Roman"/>
          <w:sz w:val="24"/>
          <w:szCs w:val="24"/>
        </w:rPr>
        <w:t>5.8. С целью организации процедуры информирования работников об условиях труда на их рабочих местах, уровнях профессиональных рисков, а также о предоставляемых им гарантиях, полагающихся компенсациях работодатель применяет такие формы информирования, как: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включения соответствующих положений в трудовой договор работника;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ознакомления работника с результатами специальной оценки условий труда на его рабочем месте;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проведения совещаний, круглых столов, семинаров, конференций, встреч заинтересованных сторон, переговоров;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размещения соответствующей информации в общедоступных местах.</w:t>
      </w:r>
    </w:p>
    <w:p>
      <w:pPr>
        <w:autoSpaceDE w:val="0"/>
        <w:autoSpaceDN w:val="0"/>
        <w:adjustRightInd w:val="0"/>
        <w:ind w:firstLine="539"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ascii="Times New Roman" w:hAnsi="Times New Roman" w:eastAsia="Calibri" w:cs="Times New Roman"/>
          <w:lang w:eastAsia="en-US"/>
        </w:rPr>
        <w:t>д) использования информационных ресурсов в информационно-телекоммуникационной сети "Интернет".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5.9. С целью организации процедуры обеспечения оптимальных режимов труда и отдыха работников работодатель применяет следующие мероприятия по обеспечению оптимальных режимов труда и отдыха работников: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обеспечение рационального использования рабочего времени;</w:t>
      </w:r>
    </w:p>
    <w:p>
      <w:pPr>
        <w:pStyle w:val="24"/>
        <w:spacing w:after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обеспечение перерывов для отдыха работников.</w:t>
      </w:r>
    </w:p>
    <w:p>
      <w:pPr>
        <w:pStyle w:val="24"/>
        <w:spacing w:after="12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ПЛАНИРОВАНИЕ МЕРОПРИЯТИЙ ПО РЕАЛИЗАЦИИ ПРОЦЕДУР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С целью планирования мероприятий по реализации процедур работодатель устанавливает порядок подготовки, пересмотра и актуализации плана мероприятий по реализации процедур (далее - План).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Ответственный за охрану труда в Администрации, до 02 августа предоставляет План на утверждение главе Администрации.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В Плане отражаются: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общий перечень мероприятий, проводимых при реализации процедур.</w:t>
      </w:r>
    </w:p>
    <w:p>
      <w:pPr>
        <w:autoSpaceDE w:val="0"/>
        <w:autoSpaceDN w:val="0"/>
        <w:adjustRightInd w:val="0"/>
        <w:ind w:firstLine="540"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ascii="Times New Roman" w:hAnsi="Times New Roman" w:eastAsia="Calibri" w:cs="Times New Roman"/>
          <w:lang w:eastAsia="en-US"/>
        </w:rPr>
        <w:t>б) общий перечень мероприятий, проводимых при реализации процедур;</w:t>
      </w:r>
    </w:p>
    <w:p>
      <w:pPr>
        <w:autoSpaceDE w:val="0"/>
        <w:autoSpaceDN w:val="0"/>
        <w:adjustRightInd w:val="0"/>
        <w:ind w:firstLine="540"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ascii="Times New Roman" w:hAnsi="Times New Roman" w:eastAsia="Calibri" w:cs="Times New Roman"/>
          <w:lang w:eastAsia="en-US"/>
        </w:rPr>
        <w:t>в) ожидаемый результат по каждому мероприятию, проводимому при реализации процедур;</w:t>
      </w:r>
    </w:p>
    <w:p>
      <w:pPr>
        <w:autoSpaceDE w:val="0"/>
        <w:autoSpaceDN w:val="0"/>
        <w:adjustRightInd w:val="0"/>
        <w:ind w:firstLine="540"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ascii="Times New Roman" w:hAnsi="Times New Roman" w:eastAsia="Calibri" w:cs="Times New Roman"/>
          <w:lang w:eastAsia="en-US"/>
        </w:rPr>
        <w:t>г) сроки реализации по каждому мероприятию, проводимому при реализации процедур;</w:t>
      </w:r>
    </w:p>
    <w:p>
      <w:pPr>
        <w:autoSpaceDE w:val="0"/>
        <w:autoSpaceDN w:val="0"/>
        <w:adjustRightInd w:val="0"/>
        <w:ind w:firstLine="540"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ascii="Times New Roman" w:hAnsi="Times New Roman" w:eastAsia="Calibri" w:cs="Times New Roman"/>
          <w:lang w:eastAsia="en-US"/>
        </w:rPr>
        <w:t>д) ответственные лица за реализацию мероприятий, проводимых при реализации процедур, на каждом уровне управления;</w:t>
      </w:r>
    </w:p>
    <w:p>
      <w:pPr>
        <w:autoSpaceDE w:val="0"/>
        <w:autoSpaceDN w:val="0"/>
        <w:adjustRightInd w:val="0"/>
        <w:ind w:firstLine="540"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ascii="Times New Roman" w:hAnsi="Times New Roman" w:eastAsia="Calibri" w:cs="Times New Roman"/>
          <w:lang w:eastAsia="en-US"/>
        </w:rPr>
        <w:t>е) источник финансирования мероприятий, проводимых при реализации процедур.</w:t>
      </w:r>
    </w:p>
    <w:p>
      <w:pPr>
        <w:pStyle w:val="24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24"/>
        <w:spacing w:after="12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КОНТРОЛЬ ФУНКЦИОНИРОВАНИЯ СУОТ И МОНИТОРИНГ РЕАЛИЗАЦИИ ПРОЦЕДУР</w:t>
      </w:r>
    </w:p>
    <w:p>
      <w:pPr>
        <w:pStyle w:val="2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 С целью организации контроля функционирования СУОТ и мониторинга реализации процедур работодатель определяет порядок реализации мероприятий, обеспечивающих:</w:t>
      </w:r>
    </w:p>
    <w:p>
      <w:pPr>
        <w:pStyle w:val="2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оценку соответствия состояния условий и охраны труда требованиям охраны труда, подлежащим выполнению;</w:t>
      </w:r>
    </w:p>
    <w:p>
      <w:pPr>
        <w:pStyle w:val="2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получение информации для определения результативности и эффективности процедур;</w:t>
      </w:r>
    </w:p>
    <w:p>
      <w:pPr>
        <w:pStyle w:val="2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получение данных, составляющих основу для принятия решений по совершенствованию СУОТ.</w:t>
      </w:r>
    </w:p>
    <w:p>
      <w:pPr>
        <w:pStyle w:val="2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К основным видам контроля функционирования СУОТ работодателя и мониторинга реализации процедур относятся: </w:t>
      </w:r>
    </w:p>
    <w:p>
      <w:pPr>
        <w:pStyle w:val="2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контроль состояния рабочего места, применяемого оборудования, инструментов, сырья, материалов, выявления профессиональных рисков, а также реализации иных мероприятий по охране труда, осуществляемых постоянно, мониторинг показателей реализации процедур;</w:t>
      </w:r>
    </w:p>
    <w:p>
      <w:pPr>
        <w:pStyle w:val="2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контроль выполнения процессов, имеющих периодический характер выполнения: оценка условий труда работников, подготовка по охране труда;</w:t>
      </w:r>
    </w:p>
    <w:p>
      <w:pPr>
        <w:pStyle w:val="2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учет и анализ несчастных случаев, профессиональных заболеваний, а также изменений требований охраны труда, подлежащих выполнению;</w:t>
      </w:r>
    </w:p>
    <w:p>
      <w:pPr>
        <w:pStyle w:val="2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контроль эффективности функционирования СУОТ в целом.</w:t>
      </w:r>
    </w:p>
    <w:p>
      <w:pPr>
        <w:pStyle w:val="2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 Для повышения эффективности контроля функционирования СУОТ и мониторинга показателей реализации процедур на каждом уровне управления работодатель вводит ступенчатые формы контроля функционирования СУОТ и мониторинга показателей реализации процедур, а также предусматривает возможность осуществления общественного контроля функционирования СУОТ и мониторинга показателей реализации процедур.</w:t>
      </w:r>
    </w:p>
    <w:p>
      <w:pPr>
        <w:pStyle w:val="2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7.4. В случаях, когда в ходе проведения контроля функционирования СУОТ и мониторинга реализации процедур выявляется необходимость предотвращения причин невыполнения каких-либо требований, и, как следствие, возможного повторения аварий, несчастных случаев, профессиональных заболеваний, незамедлительно осуществляются корректирующие действия.</w:t>
      </w:r>
    </w:p>
    <w:p>
      <w:pPr>
        <w:pStyle w:val="24"/>
        <w:spacing w:after="12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ПЛАНИРОВАНИЕ УЛУЧШЕНИЙ ФУНКЦИОНИРОВАНИЯ СУОТ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С целью организации планирования улучшения функционирования СУОТ работодатель устанавливает зависимость улучшения функционирования СУОТ от результатов контроля функционирования СУОТ и мониторинга реализации процедур, а также обязательность учета результатов расследований аварий, несчастных случаев, профессиональных заболеваний, результатов контрольно-надзорных мероприятий органов государственной власти, предложений работников и (или) уполномоченных ими представительных органов.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При планировании улучшения функционирования СУОТ работодатель проводит анализ эффективности функционирования СУОТ, предусматривающий оценку следующих показателей: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степень достижения целей работодателя в области охраны труда;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способность СУОТ обеспечивать выполнение обязанностей работодателя, отраженных в Политике по охране труда;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эффективность действий, намеченных работодателем на всех уровнях управления по результатам предыдущего анализа эффективности функционирования СУОТ;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необходимость изменения СУОТ, включая корректировку целей в области охраны труда, перераспределение обязанностей должностных лиц работодателя в области охраны труда, перераспределение ресурсов работодателя;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необходимость обеспечения своевременной подготовки тех работников, которых затронут решения об изменении СУОТ;</w:t>
      </w:r>
    </w:p>
    <w:p>
      <w:pPr>
        <w:pStyle w:val="24"/>
        <w:spacing w:after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необходимость изменения критериев оценки эффективности функционирования СУОТ.</w:t>
      </w:r>
    </w:p>
    <w:p>
      <w:pPr>
        <w:pStyle w:val="24"/>
        <w:spacing w:after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24"/>
        <w:spacing w:after="120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РЕАГИРОВАНИЕ НА АВАРИИ, НЕСЧАСТНЫЕ СЛУЧАИ И ПРОФЕССИОНАЛЬНЫЕ ЗАБОЛЕВАНИЯ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9.1. С целью обеспечения и поддержания безопасных условий труда, недопущения случаев производственного травматизма и профессиональной заболеваемости работодатель устанавливает порядок выявления потенциально возможных аварий, порядок действий в случае их возникновения.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При установлении порядка действий при возникновении аварии работодателем учитываются существующие и разрабатываемые планы реагирования на аварии и ликвидации их последствий, а также необходимость гарантировать в случае аварии: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защиту людей, находящихся в рабочей зоне, при возникновении аварии посредством использования внутренней системы связи и координации действий по ликвидации последствий аварии;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возможность работников остановить работу и/или незамедлительно покинуть рабочее место и направиться в безопасное место;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невозобновление работы в условиях аварии;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предоставление информации об аварии соответствующим компетентным органам, службам и подразделениям по ликвидации аварийных и чрезвычайных ситуаций, надежной связи работодателя с ними;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оказание первой помощи пострадавшим в результате аварий и несчастных случаев на производстве и при необходимости вызов скорой медицинской помощи (или оказание первой помощи при наличии у работодателя здравпункта), выполнение противопожарных мероприятий и эвакуации всех людей, находящихся в рабочей зоне;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7" w:name="P584"/>
      <w:bookmarkEnd w:id="7"/>
      <w:r>
        <w:rPr>
          <w:rFonts w:ascii="Times New Roman" w:hAnsi="Times New Roman" w:cs="Times New Roman"/>
          <w:sz w:val="24"/>
          <w:szCs w:val="24"/>
        </w:rPr>
        <w:t>е) подготовку работников для реализации мер по предупреждению аварий, обеспечению готовности к ним и к ликвидации их последствий, включая проведение регулярных тренировок в условиях, приближенных к реальным авариям.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 С целью своевременного определения и понимания причин возникновения аварий, несчастных случаев и профессиональных заболеваниях работодатель устанавливает порядок расследования аварий, несчастных случаев и профессиональных заболеваний, а также оформления отчетных документов в соответствии с Трудовым Кодексом РФ и Положением об охране труда.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9.4. Результаты реагирования на аварии, несчастные случаи и профессиональные заболевания оформляются работодателем в форме акта с указанием корректирующих мероприятий по устранению причин, повлекших их возникновение.</w:t>
      </w:r>
    </w:p>
    <w:p>
      <w:pPr>
        <w:pStyle w:val="24"/>
        <w:spacing w:after="12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 УПРАВЛЕНИЕ ДОКУМЕНТАМИ СУОТ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10.1. С целью организации управления документами СУОТ работодатель определяет формы и рекомендации по оформлению нормативных правовых актов и иных документов, содержащих структуру системы, обязанности и ответственность в сфере охраны труда для каждого структурного подразделения работодателя и конкретного исполнителя, процессы обеспечения охраны труда и контроля, необходимые связи между структурными подразделениями работодателя, обеспечивающие функционирование СУОТ.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 Лица, ответственные за разработку и утверждение документов СУОТ, определяются работодателем на всех уровнях управления. Порядок разработки, согласования, утверждения и пересмотра документов СУОТ, сроки их хранения устанавливаются работодателем в инструкции по делопроизводству.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10.3. В качестве особого вида документов СУОТ, которые не подлежат пересмотру, актуализации, обновлению и изменению, определяются контрольно-учетные документы СУОТ (записи), включая: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акты и иные записи данных, вытекающие из осуществления СУОТ;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журналы учета и акты записей данных об авариях, несчастных случаях, профессиональных заболеваниях;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записи данных о воздействиях вредных (опасных) факторов производственной среды и трудового процесса на работников и наблюдении за условиями труда и за состоянием здоровья работников;</w:t>
      </w:r>
    </w:p>
    <w:p>
      <w:pPr>
        <w:pStyle w:val="24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результаты контроля функционирования СУОТ.</w:t>
      </w:r>
    </w:p>
    <w:p>
      <w:pPr>
        <w:pStyle w:val="12"/>
        <w:shd w:val="clear" w:color="auto" w:fill="auto"/>
        <w:ind w:left="20"/>
      </w:pPr>
    </w:p>
    <w:sectPr>
      <w:type w:val="continuous"/>
      <w:pgSz w:w="11906" w:h="16838"/>
      <w:pgMar w:top="1418" w:right="851" w:bottom="851" w:left="1701" w:header="680" w:footer="51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urier New">
    <w:panose1 w:val="02070309020205020404"/>
    <w:charset w:val="86"/>
    <w:family w:val="modern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ranklin Gothic Book">
    <w:panose1 w:val="020B0503020102020204"/>
    <w:charset w:val="CC"/>
    <w:family w:val="swiss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6444E0"/>
    <w:multiLevelType w:val="multilevel"/>
    <w:tmpl w:val="5F6444E0"/>
    <w:lvl w:ilvl="0" w:tentative="0">
      <w:start w:val="1"/>
      <w:numFmt w:val="decimal"/>
      <w:lvlText w:val="%1."/>
      <w:lvlJc w:val="left"/>
      <w:pPr>
        <w:ind w:left="1413" w:hanging="420"/>
      </w:pPr>
      <w:rPr>
        <w:rFonts w:ascii="Times New Roman" w:hAnsi="Times New Roman" w:eastAsia="Times New Roman" w:cs="Times New Roman"/>
      </w:rPr>
    </w:lvl>
    <w:lvl w:ilvl="1" w:tentative="0">
      <w:start w:val="1"/>
      <w:numFmt w:val="decimal"/>
      <w:lvlText w:val="%1.%2."/>
      <w:lvlJc w:val="left"/>
      <w:pPr>
        <w:ind w:left="4406" w:hanging="7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610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7319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817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9381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0592" w:hanging="180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1443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265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evenAndOddHeaders w:val="1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</w:compat>
  <w:rsids>
    <w:rsidRoot w:val="00FE5112"/>
    <w:rsid w:val="000041E6"/>
    <w:rsid w:val="001D6C89"/>
    <w:rsid w:val="003D52C2"/>
    <w:rsid w:val="003E0474"/>
    <w:rsid w:val="003E0C94"/>
    <w:rsid w:val="003E426E"/>
    <w:rsid w:val="0059481C"/>
    <w:rsid w:val="0067673B"/>
    <w:rsid w:val="006F74F0"/>
    <w:rsid w:val="00751685"/>
    <w:rsid w:val="007A4806"/>
    <w:rsid w:val="00926BE5"/>
    <w:rsid w:val="009A2D5C"/>
    <w:rsid w:val="00AB5F02"/>
    <w:rsid w:val="00BE23F0"/>
    <w:rsid w:val="00D96970"/>
    <w:rsid w:val="00E64B70"/>
    <w:rsid w:val="00EF4895"/>
    <w:rsid w:val="00F004FF"/>
    <w:rsid w:val="00F465BD"/>
    <w:rsid w:val="00F73CEC"/>
    <w:rsid w:val="00F80D0A"/>
    <w:rsid w:val="00F84E37"/>
    <w:rsid w:val="00F90A5B"/>
    <w:rsid w:val="00FB133C"/>
    <w:rsid w:val="00FE5112"/>
    <w:rsid w:val="2DD6432F"/>
    <w:rsid w:val="373F47E5"/>
    <w:rsid w:val="7A6B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ourier New" w:hAnsi="Courier New" w:eastAsia="Courier New" w:cs="Courier New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uiPriority w:val="0"/>
    <w:pPr>
      <w:widowControl w:val="0"/>
    </w:pPr>
    <w:rPr>
      <w:rFonts w:ascii="Courier New" w:hAnsi="Courier New" w:eastAsia="Courier New" w:cs="Courier New"/>
      <w:color w:val="000000"/>
      <w:sz w:val="24"/>
      <w:szCs w:val="24"/>
      <w:lang w:val="ru-RU" w:eastAsia="ru-RU" w:bidi="ru-RU"/>
    </w:rPr>
  </w:style>
  <w:style w:type="paragraph" w:styleId="2">
    <w:name w:val="heading 1"/>
    <w:basedOn w:val="1"/>
    <w:next w:val="1"/>
    <w:link w:val="23"/>
    <w:qFormat/>
    <w:uiPriority w:val="0"/>
    <w:pPr>
      <w:keepNext/>
      <w:widowControl/>
      <w:suppressAutoHyphens/>
      <w:spacing w:before="240" w:after="60"/>
      <w:outlineLvl w:val="0"/>
    </w:pPr>
    <w:rPr>
      <w:rFonts w:ascii="Arial" w:hAnsi="Arial" w:eastAsia="Times New Roman" w:cs="Arial"/>
      <w:b/>
      <w:bCs/>
      <w:color w:val="auto"/>
      <w:kern w:val="1"/>
      <w:sz w:val="32"/>
      <w:szCs w:val="32"/>
      <w:lang w:eastAsia="ar-SA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0"/>
    <w:rPr>
      <w:color w:val="0066CC"/>
      <w:u w:val="single"/>
    </w:rPr>
  </w:style>
  <w:style w:type="paragraph" w:styleId="6">
    <w:name w:val="Balloon Text"/>
    <w:basedOn w:val="1"/>
    <w:link w:val="27"/>
    <w:semiHidden/>
    <w:unhideWhenUsed/>
    <w:qFormat/>
    <w:uiPriority w:val="99"/>
    <w:rPr>
      <w:rFonts w:ascii="Tahoma" w:hAnsi="Tahoma" w:cs="Tahoma"/>
      <w:sz w:val="16"/>
      <w:szCs w:val="16"/>
    </w:rPr>
  </w:style>
  <w:style w:type="character" w:customStyle="1" w:styleId="7">
    <w:name w:val="Основной текст (2)_"/>
    <w:basedOn w:val="3"/>
    <w:link w:val="8"/>
    <w:qFormat/>
    <w:uiPriority w:val="0"/>
    <w:rPr>
      <w:rFonts w:ascii="Times New Roman" w:hAnsi="Times New Roman" w:eastAsia="Times New Roman" w:cs="Times New Roman"/>
      <w:b/>
      <w:bCs/>
      <w:u w:val="none"/>
    </w:rPr>
  </w:style>
  <w:style w:type="paragraph" w:customStyle="1" w:styleId="8">
    <w:name w:val="Основной текст (2)"/>
    <w:basedOn w:val="1"/>
    <w:link w:val="7"/>
    <w:qFormat/>
    <w:uiPriority w:val="0"/>
    <w:pPr>
      <w:shd w:val="clear" w:color="auto" w:fill="FFFFFF"/>
      <w:spacing w:after="240" w:line="274" w:lineRule="exact"/>
    </w:pPr>
    <w:rPr>
      <w:rFonts w:ascii="Times New Roman" w:hAnsi="Times New Roman" w:eastAsia="Times New Roman" w:cs="Times New Roman"/>
      <w:b/>
      <w:bCs/>
    </w:rPr>
  </w:style>
  <w:style w:type="character" w:customStyle="1" w:styleId="9">
    <w:name w:val="Основной текст Exact"/>
    <w:basedOn w:val="3"/>
    <w:qFormat/>
    <w:uiPriority w:val="0"/>
    <w:rPr>
      <w:rFonts w:ascii="Times New Roman" w:hAnsi="Times New Roman" w:eastAsia="Times New Roman" w:cs="Times New Roman"/>
      <w:spacing w:val="-4"/>
      <w:sz w:val="22"/>
      <w:szCs w:val="22"/>
      <w:u w:val="none"/>
    </w:rPr>
  </w:style>
  <w:style w:type="character" w:customStyle="1" w:styleId="10">
    <w:name w:val="Основной текст + 11;5 pt;Курсив;Интервал -1 pt Exact"/>
    <w:basedOn w:val="11"/>
    <w:qFormat/>
    <w:uiPriority w:val="0"/>
    <w:rPr>
      <w:rFonts w:ascii="Times New Roman" w:hAnsi="Times New Roman" w:eastAsia="Times New Roman" w:cs="Times New Roman"/>
      <w:i/>
      <w:iCs/>
      <w:spacing w:val="-30"/>
      <w:sz w:val="23"/>
      <w:szCs w:val="23"/>
      <w:u w:val="none"/>
    </w:rPr>
  </w:style>
  <w:style w:type="character" w:customStyle="1" w:styleId="11">
    <w:name w:val="Основной текст_"/>
    <w:basedOn w:val="3"/>
    <w:link w:val="12"/>
    <w:qFormat/>
    <w:uiPriority w:val="0"/>
    <w:rPr>
      <w:rFonts w:ascii="Times New Roman" w:hAnsi="Times New Roman" w:eastAsia="Times New Roman" w:cs="Times New Roman"/>
      <w:u w:val="none"/>
    </w:rPr>
  </w:style>
  <w:style w:type="paragraph" w:customStyle="1" w:styleId="12">
    <w:name w:val="Основной текст2"/>
    <w:basedOn w:val="1"/>
    <w:link w:val="11"/>
    <w:qFormat/>
    <w:uiPriority w:val="0"/>
    <w:pPr>
      <w:shd w:val="clear" w:color="auto" w:fill="FFFFFF"/>
      <w:spacing w:line="274" w:lineRule="exact"/>
    </w:pPr>
    <w:rPr>
      <w:rFonts w:ascii="Times New Roman" w:hAnsi="Times New Roman" w:eastAsia="Times New Roman" w:cs="Times New Roman"/>
    </w:rPr>
  </w:style>
  <w:style w:type="character" w:customStyle="1" w:styleId="13">
    <w:name w:val="Основной текст (3) Exact"/>
    <w:basedOn w:val="3"/>
    <w:qFormat/>
    <w:uiPriority w:val="0"/>
    <w:rPr>
      <w:rFonts w:ascii="Times New Roman" w:hAnsi="Times New Roman" w:eastAsia="Times New Roman" w:cs="Times New Roman"/>
      <w:spacing w:val="-4"/>
      <w:sz w:val="20"/>
      <w:szCs w:val="20"/>
      <w:u w:val="none"/>
    </w:rPr>
  </w:style>
  <w:style w:type="character" w:customStyle="1" w:styleId="14">
    <w:name w:val="Основной текст (3)_"/>
    <w:basedOn w:val="3"/>
    <w:link w:val="15"/>
    <w:qFormat/>
    <w:uiPriority w:val="0"/>
    <w:rPr>
      <w:rFonts w:ascii="Times New Roman" w:hAnsi="Times New Roman" w:eastAsia="Times New Roman" w:cs="Times New Roman"/>
      <w:sz w:val="22"/>
      <w:szCs w:val="22"/>
      <w:u w:val="none"/>
    </w:rPr>
  </w:style>
  <w:style w:type="paragraph" w:customStyle="1" w:styleId="15">
    <w:name w:val="Основной текст (3)"/>
    <w:basedOn w:val="1"/>
    <w:link w:val="14"/>
    <w:qFormat/>
    <w:uiPriority w:val="0"/>
    <w:pPr>
      <w:shd w:val="clear" w:color="auto" w:fill="FFFFFF"/>
      <w:spacing w:line="0" w:lineRule="atLeast"/>
    </w:pPr>
    <w:rPr>
      <w:rFonts w:ascii="Times New Roman" w:hAnsi="Times New Roman" w:eastAsia="Times New Roman" w:cs="Times New Roman"/>
      <w:sz w:val="22"/>
      <w:szCs w:val="22"/>
    </w:rPr>
  </w:style>
  <w:style w:type="character" w:customStyle="1" w:styleId="16">
    <w:name w:val="Основной текст (3) + 12 pt;Полужирный"/>
    <w:basedOn w:val="14"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7">
    <w:name w:val="Основной текст + 11 pt"/>
    <w:basedOn w:val="11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8">
    <w:name w:val="Основной текст + 11 pt1"/>
    <w:basedOn w:val="11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9">
    <w:name w:val="Основной текст1"/>
    <w:basedOn w:val="11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Основной текст + Полужирный"/>
    <w:basedOn w:val="11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+ Franklin Gothic Book;Курсив"/>
    <w:basedOn w:val="11"/>
    <w:qFormat/>
    <w:uiPriority w:val="0"/>
    <w:rPr>
      <w:rFonts w:ascii="Franklin Gothic Book" w:hAnsi="Franklin Gothic Book" w:eastAsia="Franklin Gothic Book" w:cs="Franklin Gothic Book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Заголовок 1 Знак"/>
    <w:basedOn w:val="3"/>
    <w:link w:val="2"/>
    <w:uiPriority w:val="0"/>
    <w:rPr>
      <w:rFonts w:ascii="Arial" w:hAnsi="Arial" w:eastAsia="Times New Roman" w:cs="Arial"/>
      <w:b/>
      <w:bCs/>
      <w:kern w:val="1"/>
      <w:sz w:val="32"/>
      <w:szCs w:val="32"/>
      <w:lang w:eastAsia="ar-SA" w:bidi="ar-SA"/>
    </w:rPr>
  </w:style>
  <w:style w:type="paragraph" w:customStyle="1" w:styleId="24">
    <w:name w:val="ConsPlusNormal"/>
    <w:uiPriority w:val="0"/>
    <w:pPr>
      <w:widowControl w:val="0"/>
      <w:autoSpaceDE w:val="0"/>
      <w:autoSpaceDN w:val="0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paragraph" w:styleId="25">
    <w:name w:val="No Spacing"/>
    <w:qFormat/>
    <w:uiPriority w:val="0"/>
    <w:pPr>
      <w:widowControl/>
      <w:suppressAutoHyphens/>
    </w:pPr>
    <w:rPr>
      <w:rFonts w:ascii="Times New Roman" w:hAnsi="Times New Roman" w:eastAsia="Times New Roman" w:cs="Times New Roman"/>
      <w:sz w:val="24"/>
      <w:szCs w:val="24"/>
      <w:lang w:val="ru-RU" w:eastAsia="ar-SA" w:bidi="ar-SA"/>
    </w:rPr>
  </w:style>
  <w:style w:type="character" w:customStyle="1" w:styleId="26">
    <w:name w:val="Цветовое выделение"/>
    <w:uiPriority w:val="99"/>
    <w:rPr>
      <w:b/>
      <w:bCs/>
      <w:color w:val="000080"/>
    </w:rPr>
  </w:style>
  <w:style w:type="character" w:customStyle="1" w:styleId="27">
    <w:name w:val="Текст выноски Знак"/>
    <w:basedOn w:val="3"/>
    <w:link w:val="6"/>
    <w:semiHidden/>
    <w:uiPriority w:val="99"/>
    <w:rPr>
      <w:rFonts w:ascii="Tahoma" w:hAnsi="Tahoma" w:cs="Tahoma"/>
      <w:color w:val="000000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2894</Words>
  <Characters>16501</Characters>
  <Lines>137</Lines>
  <Paragraphs>38</Paragraphs>
  <TotalTime>17</TotalTime>
  <ScaleCrop>false</ScaleCrop>
  <LinksUpToDate>false</LinksUpToDate>
  <CharactersWithSpaces>19357</CharactersWithSpaces>
  <Application>WPS Office_11.2.0.10152_F1E327BC-269C-435d-A152-05C5408002CA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2021-06-08T02:27:00Z</dcterms:created>
  <dc:creator>User1</dc:creator>
  <cp:lastModifiedBy>васильевна</cp:lastModifiedBy>
  <cp:lastPrinted>2021-06-15T06:59:00Z</cp:lastPrinted>
  <dcterms:modified xsi:type="dcterms:W3CDTF">2021-06-15T07:00:35Z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1049-11.2.0.10152</vt:lpwstr>
  </property>
</Properties>
</file>