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-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"/>
        <w:gridCol w:w="9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18" w:hRule="atLeast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7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СЕЛЬСКОГО ПОСЕЛЕНИЯ «ГАЛКИНСКОЕ»</w:t>
            </w:r>
          </w:p>
          <w:p>
            <w:pPr>
              <w:jc w:val="center"/>
              <w:rPr>
                <w:b/>
                <w:color w:val="000000"/>
                <w:spacing w:val="-6"/>
                <w:sz w:val="24"/>
                <w:szCs w:val="24"/>
                <w:u w:val="single"/>
              </w:rPr>
            </w:pPr>
          </w:p>
          <w:p>
            <w:pPr>
              <w:jc w:val="center"/>
              <w:rPr>
                <w:b/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b/>
                <w:color w:val="000000"/>
                <w:spacing w:val="-2"/>
                <w:sz w:val="32"/>
                <w:szCs w:val="32"/>
              </w:rPr>
            </w:pPr>
            <w:r>
              <w:rPr>
                <w:b/>
                <w:color w:val="000000"/>
                <w:spacing w:val="-2"/>
                <w:sz w:val="32"/>
                <w:szCs w:val="32"/>
              </w:rPr>
              <w:t>ПОСТАНОВЛЕНИЕ</w:t>
            </w:r>
          </w:p>
          <w:p>
            <w:pPr>
              <w:rPr>
                <w:rFonts w:hint="default"/>
                <w:bCs/>
                <w:color w:val="000000"/>
                <w:spacing w:val="-2"/>
                <w:sz w:val="28"/>
                <w:szCs w:val="28"/>
                <w:lang w:val="ru-RU"/>
              </w:rPr>
            </w:pPr>
            <w:r>
              <w:rPr>
                <w:rFonts w:hint="default"/>
                <w:bCs/>
                <w:color w:val="000000"/>
                <w:spacing w:val="-2"/>
                <w:sz w:val="28"/>
                <w:szCs w:val="28"/>
                <w:lang w:val="ru-RU"/>
              </w:rPr>
              <w:t xml:space="preserve">22 </w:t>
            </w:r>
            <w:r>
              <w:rPr>
                <w:bCs/>
                <w:color w:val="000000"/>
                <w:spacing w:val="-2"/>
                <w:sz w:val="28"/>
                <w:szCs w:val="28"/>
              </w:rPr>
              <w:t xml:space="preserve">ноября </w:t>
            </w:r>
            <w:r>
              <w:rPr>
                <w:rFonts w:hint="default"/>
                <w:bCs/>
                <w:color w:val="000000"/>
                <w:spacing w:val="-2"/>
                <w:sz w:val="28"/>
                <w:szCs w:val="28"/>
                <w:lang w:val="ru-RU"/>
              </w:rPr>
              <w:t>2022</w:t>
            </w:r>
            <w:r>
              <w:rPr>
                <w:bCs/>
                <w:color w:val="000000"/>
                <w:spacing w:val="-2"/>
                <w:sz w:val="28"/>
                <w:szCs w:val="28"/>
              </w:rPr>
              <w:t xml:space="preserve">                                                                                               № </w:t>
            </w:r>
            <w:r>
              <w:rPr>
                <w:rFonts w:hint="default"/>
                <w:bCs/>
                <w:color w:val="000000"/>
                <w:spacing w:val="-2"/>
                <w:sz w:val="28"/>
                <w:szCs w:val="28"/>
                <w:lang w:val="ru-RU"/>
              </w:rPr>
              <w:t>34</w:t>
            </w:r>
          </w:p>
          <w:p>
            <w:pPr>
              <w:rPr>
                <w:bCs/>
                <w:color w:val="000000"/>
                <w:spacing w:val="-2"/>
                <w:sz w:val="28"/>
                <w:szCs w:val="28"/>
              </w:rPr>
            </w:pPr>
          </w:p>
          <w:p>
            <w:pPr>
              <w:jc w:val="center"/>
              <w:rPr>
                <w:b w:val="0"/>
                <w:bCs/>
                <w:color w:val="000000"/>
                <w:spacing w:val="-2"/>
                <w:sz w:val="28"/>
                <w:szCs w:val="28"/>
              </w:rPr>
            </w:pPr>
            <w:r>
              <w:rPr>
                <w:b w:val="0"/>
                <w:bCs/>
                <w:color w:val="000000"/>
                <w:spacing w:val="-2"/>
                <w:sz w:val="28"/>
                <w:szCs w:val="28"/>
              </w:rPr>
              <w:t>с. Галкино</w:t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прогнозе социально – экономического развития сельского поселения на 2023 год и плановый период 2024 и 2025 годов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Бюджетным кодексом Российской Федерации, Федеральным законом от 28.06.2014 № 172-ФЗ «О стратегическом планировании в Российской Федерации», постановлением администрации сельского поселения от 30.10.2015 № 75г «О порядке разработки и корректировки прогноза социально-экономического развития сельского поселения «Галкинское» на среднесрочный период, осуществления мониторинга и контроля его реализации», администрация  сельского поселения </w:t>
            </w:r>
            <w:r>
              <w:rPr>
                <w:b/>
                <w:sz w:val="28"/>
                <w:szCs w:val="28"/>
              </w:rPr>
              <w:t>постановляет</w:t>
            </w:r>
            <w:r>
              <w:rPr>
                <w:sz w:val="28"/>
                <w:szCs w:val="28"/>
              </w:rPr>
              <w:t>:</w:t>
            </w: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Одобрить прогноз социально–экономического развития  сельского поселения на 2023 год и плановый период 2024 и 2025 годов (прилагается).</w:t>
            </w: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Внести прогноз социально-экономического развития сельского поселения «Галкинское» на 2023 год и плановый период 2024 и 2025 годов одновременно с проектом бюджета сельского поселения на 2023 год и на плановый период 2024 и 2025 годов в Совет  сельского поселения «Галкинское» в установленном порядке.</w:t>
            </w:r>
          </w:p>
          <w:p>
            <w:pPr>
              <w:ind w:firstLine="9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3. Обнародовать на информационном стенде администрации, библиотеках сел Галкино, Зубарево, Савино и на официальном сайте «галкинское.рф»</w:t>
            </w: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</w:p>
          <w:p>
            <w:pPr>
              <w:ind w:firstLine="851"/>
              <w:jc w:val="both"/>
              <w:rPr>
                <w:sz w:val="28"/>
                <w:szCs w:val="28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rPr>
                <w:bCs/>
                <w:kern w:val="2"/>
                <w:sz w:val="28"/>
                <w:szCs w:val="28"/>
                <w:lang w:eastAsia="ar-SA"/>
              </w:rPr>
            </w:pPr>
            <w:r>
              <w:rPr>
                <w:bCs/>
                <w:kern w:val="2"/>
                <w:sz w:val="28"/>
                <w:szCs w:val="28"/>
                <w:lang w:eastAsia="ar-SA"/>
              </w:rPr>
              <w:t>Глава  сельского поселения «Галкинское»                               С.П. Комогорцев</w:t>
            </w:r>
            <w:r>
              <w:rPr>
                <w:bCs/>
                <w:kern w:val="2"/>
                <w:sz w:val="28"/>
                <w:szCs w:val="28"/>
                <w:lang w:eastAsia="ar-SA"/>
              </w:rPr>
              <w:tab/>
            </w:r>
            <w:r>
              <w:rPr>
                <w:bCs/>
                <w:kern w:val="2"/>
                <w:sz w:val="28"/>
                <w:szCs w:val="28"/>
                <w:lang w:eastAsia="ar-SA"/>
              </w:rPr>
              <w:tab/>
            </w:r>
            <w:r>
              <w:rPr>
                <w:bCs/>
                <w:kern w:val="2"/>
                <w:sz w:val="28"/>
                <w:szCs w:val="28"/>
                <w:lang w:eastAsia="ar-SA"/>
              </w:rPr>
              <w:t xml:space="preserve">       </w:t>
            </w: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kern w:val="2"/>
                <w:sz w:val="28"/>
                <w:szCs w:val="28"/>
                <w:lang w:eastAsia="ar-SA"/>
              </w:rPr>
            </w:pP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</w:t>
            </w:r>
          </w:p>
          <w:p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сельского поселения «Галкинское»</w:t>
            </w:r>
          </w:p>
          <w:p>
            <w:pPr>
              <w:wordWrap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22 ноября </w:t>
            </w:r>
            <w:r>
              <w:rPr>
                <w:sz w:val="28"/>
                <w:szCs w:val="28"/>
              </w:rPr>
              <w:t>2022    №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34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</w:tbl>
    <w:p>
      <w:pPr>
        <w:jc w:val="center"/>
        <w:rPr>
          <w:b/>
          <w:kern w:val="28"/>
          <w:sz w:val="28"/>
          <w:szCs w:val="28"/>
        </w:rPr>
      </w:pPr>
    </w:p>
    <w:p>
      <w:pPr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Пояснительная записка</w:t>
      </w:r>
    </w:p>
    <w:p>
      <w:pPr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к прогнозу социально - экономического развития</w:t>
      </w:r>
    </w:p>
    <w:p>
      <w:pPr>
        <w:jc w:val="center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сельского поселения «Галкинское»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год и плановый период 2024 и 2025 годов</w:t>
      </w:r>
    </w:p>
    <w:p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bookmarkStart w:id="0" w:name="_Toc502538672"/>
      <w:bookmarkEnd w:id="0"/>
      <w:bookmarkStart w:id="1" w:name="_Toc502407495"/>
      <w:bookmarkEnd w:id="1"/>
      <w:r>
        <w:rPr>
          <w:sz w:val="28"/>
          <w:szCs w:val="28"/>
        </w:rPr>
        <w:t xml:space="preserve">Прогноз социально-экономического развития сельского поселения «Галкинское» на 2023 год и плановый период до 2025 года разработан на основе анализа тенденций, сложившихся в предшествующие годы в экономике поселения. Прогноз социально-экономического развития  сельского поселения на 2023 год и плановый период до 2025 года включает в себя </w:t>
      </w:r>
      <w:r>
        <w:rPr>
          <w:iCs/>
          <w:sz w:val="28"/>
          <w:szCs w:val="28"/>
        </w:rPr>
        <w:t>комплекс мероприятий</w:t>
      </w:r>
      <w:r>
        <w:rPr>
          <w:sz w:val="28"/>
          <w:szCs w:val="28"/>
        </w:rPr>
        <w:t xml:space="preserve"> на среднесрочную перспективу, направленный на преодоление основных проблем в социально-экономической сфере и решение стратегических задач по подъему экономики сельского поселения. Комплекс мероприятий, направленных на социально-экономическое развитие  сельского поселения «Галкинское» носит открытый характер, предполагает возможность его дополнения другими направлениями и проектами при условии их соответствия целям и задачам развития сельского поселения «Галкинское».</w:t>
      </w: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Социально-экономическое положение и основные</w:t>
      </w: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направления развития  сельского поселения «Галкинское»</w:t>
      </w:r>
    </w:p>
    <w:p>
      <w:pPr>
        <w:rPr>
          <w:sz w:val="28"/>
          <w:szCs w:val="28"/>
        </w:rPr>
      </w:pP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площадь сельского поселения составляет </w:t>
      </w:r>
      <w:r>
        <w:rPr>
          <w:color w:val="222222"/>
          <w:sz w:val="28"/>
          <w:szCs w:val="28"/>
          <w:shd w:val="clear" w:color="auto" w:fill="FFFFFF"/>
        </w:rPr>
        <w:t>116,47 км²</w:t>
      </w:r>
      <w:r>
        <w:rPr>
          <w:sz w:val="28"/>
          <w:szCs w:val="28"/>
        </w:rPr>
        <w:t>. В состав поселения входят 4 населенных пунктов: село Галкино, село Нижнее Галкино, село Зубарево, село Савино. Административным центром  сельского поселения «Галкинское» является  - село Галкино.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Территория сельского поселения «Галкинское» входит в состав территории муниципального района «Шилкинский район» и расположено в западной части «Шилкинского района».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Протяженность  дорог местного значения сельского поселения составляет 28,3 км.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территории сельского поселения находятся следующие организации: МОУ Галкинская СОШ, СДК с.Галкино, СК с.Савино, библиотека с.Зубарево, 3  фельдшерско-акушерских пункта,  1 почтовое отделение, магазины -5, предприятия железнодорожного транспорта - участки ПЧ-5, ПЧ-6, ШЧ-3, стация Зубарево, КФХ «Апрелков.</w:t>
      </w:r>
    </w:p>
    <w:p>
      <w:pPr>
        <w:jc w:val="both"/>
        <w:rPr>
          <w:sz w:val="28"/>
          <w:szCs w:val="28"/>
        </w:rPr>
      </w:pPr>
    </w:p>
    <w:p>
      <w:pPr>
        <w:jc w:val="center"/>
        <w:outlineLvl w:val="1"/>
        <w:rPr>
          <w:b/>
          <w:bCs/>
          <w:sz w:val="28"/>
          <w:szCs w:val="28"/>
        </w:rPr>
      </w:pPr>
    </w:p>
    <w:p>
      <w:pPr>
        <w:jc w:val="center"/>
        <w:outlineLvl w:val="1"/>
        <w:rPr>
          <w:b/>
          <w:bCs/>
          <w:sz w:val="28"/>
          <w:szCs w:val="28"/>
        </w:rPr>
      </w:pP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Цели, задачи, сроки и этапы реализации мероприятий,</w:t>
      </w: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направленных на социально-экономическое развитие</w:t>
      </w:r>
    </w:p>
    <w:p>
      <w:pPr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«Галкинское»</w:t>
      </w:r>
    </w:p>
    <w:p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мероприятий, направленных на социально-экономическое развитие сельского поселения «Галкинское» является создание базы для устойчивого социально - экономического развития сельского поселения, увеличение денежных поступлений в местный бюджет, решение социально-экономических проблем населения.</w:t>
      </w:r>
    </w:p>
    <w:p>
      <w:pPr>
        <w:spacing w:before="100" w:beforeAutospacing="1" w:after="100" w:afterAutospacing="1"/>
        <w:ind w:firstLine="282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Основные задачи мероприятий</w:t>
      </w:r>
      <w:r>
        <w:rPr>
          <w:sz w:val="28"/>
          <w:szCs w:val="28"/>
        </w:rPr>
        <w:t>:</w:t>
      </w:r>
    </w:p>
    <w:p>
      <w:pPr>
        <w:numPr>
          <w:ilvl w:val="0"/>
          <w:numId w:val="1"/>
        </w:numPr>
        <w:tabs>
          <w:tab w:val="left" w:pos="851"/>
        </w:tabs>
        <w:spacing w:line="276" w:lineRule="auto"/>
        <w:ind w:left="850" w:hanging="425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и обслуживание уличного освещения.</w:t>
      </w:r>
    </w:p>
    <w:p>
      <w:pPr>
        <w:numPr>
          <w:ilvl w:val="0"/>
          <w:numId w:val="1"/>
        </w:numPr>
        <w:tabs>
          <w:tab w:val="left" w:pos="851"/>
        </w:tabs>
        <w:spacing w:line="276" w:lineRule="auto"/>
        <w:ind w:left="850" w:hanging="425"/>
        <w:jc w:val="both"/>
        <w:rPr>
          <w:sz w:val="28"/>
          <w:szCs w:val="28"/>
        </w:rPr>
      </w:pPr>
      <w:r>
        <w:rPr>
          <w:sz w:val="28"/>
          <w:szCs w:val="28"/>
        </w:rPr>
        <w:t>Комплексное благоустройство территории сельского поселения.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первичных мер пожарной безопасности в границах населенных пунктов поселения.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 жизни населения, обеспечения его услугами связи, торговли и бытового обслуживания.</w:t>
      </w:r>
    </w:p>
    <w:p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76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жителей поселения услугами учреждений культуры, обеспечение условий для развития физической культуры и спорта.</w:t>
      </w:r>
    </w:p>
    <w:p>
      <w:pPr>
        <w:ind w:firstLine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Первоочередное направление средств - выполнение бюджетных обязательств по выплате заработной платы, оплате коммунальных услуг.</w:t>
      </w:r>
    </w:p>
    <w:p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Комплекс мероприятий, направленных на социально-экономическое развитие сельского поселения</w:t>
      </w:r>
    </w:p>
    <w:p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Комплекс мероприятий, направленных на социально-экономическое развитие поселения является совокупностью организационных, правовых преобразований, обеспечивающих прирост налогов местного бюджета и социальных мероприятий, выполнение которых обеспечит достижение поставленных целей по социально-экономическому развитию поселения. В целях экономии бюджетных средств проводится разработка ежегодных лимитов энергоресурсов, услуг связи и проведение ежеквартального мониторинга их исполнения.</w:t>
      </w:r>
    </w:p>
    <w:p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Демографическая ситуация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постоянного населения по данным на 01.01.2022 года составила 818 человек, в том числе в селе Галкино - 359 , в селе Нижннее Галкино - 133, в селе Зубарево - 130,  в селе Савино - 196.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2021 году в поселении родилось 8 детей (из них мальчиков-3, девочек - 5), умерло 11 человек (мужчин-7, женщин-4), естественная убыль 3  человек. По итогам 9 месяцев 2022 года родилось 6 детей (из них мальчиков-2, девочек-4), умерло 11 человек (мужчин-4, женщин-7), естественная убыль составила 5 человек.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Особое место в формировании численности населения поселения занимают миграционные процессы. Основными миграционными потоками остаются внутрироссийские перемещения. Преимущественно выезжают за пределы поселения лица высококвалифицированные, в трудоспособном возрасте, конкурентоспособные на рынке труда центральных областей России, что серьезно снижает трудовой потенциал поселения.</w:t>
      </w:r>
    </w:p>
    <w:p>
      <w:pPr>
        <w:spacing w:before="100" w:beforeAutospacing="1" w:after="100" w:afterAutospacing="1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хозяйство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оценке поголовья скота и птицы, посевных площадей в хозяйствах населения: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КРС - 648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овцы - 39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козы - 55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свиньи - 35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кролики 66 голов;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птица всех возрастов –-128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пчелы медоносные (семьи) -31</w:t>
      </w:r>
    </w:p>
    <w:p>
      <w:pPr>
        <w:ind w:firstLine="140" w:firstLineChars="50"/>
        <w:jc w:val="both"/>
        <w:rPr>
          <w:sz w:val="28"/>
          <w:szCs w:val="28"/>
        </w:rPr>
      </w:pPr>
      <w:r>
        <w:rPr>
          <w:sz w:val="28"/>
          <w:szCs w:val="28"/>
        </w:rPr>
        <w:t>-лошади-167.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 по благоустройству сельского поселения</w:t>
      </w:r>
    </w:p>
    <w:p>
      <w:pPr>
        <w:jc w:val="center"/>
        <w:rPr>
          <w:b/>
          <w:sz w:val="28"/>
          <w:szCs w:val="28"/>
        </w:rPr>
      </w:pPr>
    </w:p>
    <w:p>
      <w:pPr>
        <w:spacing w:before="60" w:after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поселения в 2023-2025 годы предусматривает осуществление затрат по таким направлениям, как:</w:t>
      </w:r>
    </w:p>
    <w:p>
      <w:pPr>
        <w:numPr>
          <w:ilvl w:val="0"/>
          <w:numId w:val="2"/>
        </w:numPr>
        <w:ind w:left="924" w:hanging="357"/>
        <w:rPr>
          <w:sz w:val="28"/>
          <w:szCs w:val="28"/>
        </w:rPr>
      </w:pPr>
      <w:r>
        <w:rPr>
          <w:sz w:val="28"/>
          <w:szCs w:val="28"/>
        </w:rPr>
        <w:t>Освещение улиц.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Ликвидация несанкционированных свалок мусора.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Установка и содержание детских и спортивных площадок.</w:t>
      </w:r>
    </w:p>
    <w:p>
      <w:pPr>
        <w:numPr>
          <w:ilvl w:val="0"/>
          <w:numId w:val="2"/>
        </w:numPr>
        <w:ind w:left="924" w:hanging="357"/>
        <w:rPr>
          <w:sz w:val="28"/>
          <w:szCs w:val="28"/>
        </w:rPr>
      </w:pPr>
      <w:r>
        <w:rPr>
          <w:sz w:val="28"/>
          <w:szCs w:val="28"/>
        </w:rPr>
        <w:t>Озеленение территории сельского поселения.</w:t>
      </w:r>
    </w:p>
    <w:p>
      <w:pPr>
        <w:numPr>
          <w:ilvl w:val="0"/>
          <w:numId w:val="2"/>
        </w:numPr>
        <w:ind w:left="924" w:hanging="357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памятников воинам ВОВ.</w:t>
      </w:r>
    </w:p>
    <w:p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bookmarkStart w:id="2" w:name="_Toc502538669"/>
      <w:bookmarkEnd w:id="2"/>
      <w:r>
        <w:rPr>
          <w:b/>
          <w:bCs/>
          <w:sz w:val="28"/>
          <w:szCs w:val="28"/>
        </w:rPr>
        <w:t>Культура, развитие физической культуры и спорта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сельском поселении «Галкинское» имеется 1 СДК с.Галкино, 1 СК с.Савино 1библиотека с.Зубарево.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Их деятельность в 2023-2025 годах будет направлена на: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создание и организацию коллективов, кружков любительского и художественного творчества, любительских объединений и клубов по интересам, других клубных формирований;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организацию и проведение фестивалей, смотров, конкурсов, выставок и других форм показа результатов творческой деятельности клубных формирований;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организацию праздников, конкурсов, фестивалей и участие в иных творческих проектах на территории поселения;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проведение спектаклей, концертов, других театрально-зрелищных и выставочных мероприятий;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проведение массовых и театрализованных праздников и представлений, народных гуляний;</w:t>
      </w:r>
    </w:p>
    <w:p>
      <w:pPr>
        <w:ind w:firstLine="709"/>
        <w:jc w:val="both"/>
        <w:rPr>
          <w:sz w:val="28"/>
        </w:rPr>
      </w:pPr>
      <w:r>
        <w:rPr>
          <w:sz w:val="28"/>
        </w:rPr>
        <w:t>- организацию досуга различных групп населения, в том числе проведение вечеров отдыха, дискотек, карнавалов, детских утренников, игровых и других культурно-развлекательных программ.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культурно-массовой работы в онлайн – режиме,  трансляция видеороликов в сети интернет: концертных программ, театрализованных представлений, мастер-классов, тематических викторин,  видеоуроков и фотоколлажей.</w:t>
      </w: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Прогноз 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социально-экономического развития  сельского поселения «Галкинское»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2023 год и плановый период 2024 и 2025 годов</w:t>
      </w:r>
    </w:p>
    <w:p>
      <w:pPr>
        <w:contextualSpacing/>
        <w:jc w:val="center"/>
        <w:rPr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6"/>
        <w:gridCol w:w="1469"/>
        <w:gridCol w:w="1062"/>
        <w:gridCol w:w="1105"/>
        <w:gridCol w:w="1063"/>
        <w:gridCol w:w="1063"/>
        <w:gridCol w:w="10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vMerge w:val="restart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469" w:type="dxa"/>
            <w:vMerge w:val="restart"/>
          </w:tcPr>
          <w:p>
            <w:pPr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Единица</w:t>
            </w:r>
          </w:p>
          <w:p>
            <w:pPr>
              <w:contextualSpacing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измерения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отчет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3189" w:type="dxa"/>
            <w:gridSpan w:val="3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прогноз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  <w:vMerge w:val="continue"/>
          </w:tcPr>
          <w:p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69" w:type="dxa"/>
            <w:vMerge w:val="continue"/>
          </w:tcPr>
          <w:p>
            <w:pPr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Рождаемость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Смертность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Естественный прирост/ Естественная убыль «-»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КФХ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Самозанятые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ind w:right="-1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Производство сельско-хозяйственной продук-ции в личном подсобном хозяйстве (картофеля)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тонн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404,4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фельдшерско – акушерскими пунктами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общедоступными библиотеками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учреждениями культурно- досугового типа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детскими дошкольными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учреждениями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учрежд.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физических лиц</w:t>
            </w:r>
          </w:p>
        </w:tc>
        <w:tc>
          <w:tcPr>
            <w:tcW w:w="1469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146,8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176,7</w:t>
            </w:r>
          </w:p>
        </w:tc>
        <w:tc>
          <w:tcPr>
            <w:tcW w:w="1063" w:type="dxa"/>
          </w:tcPr>
          <w:p>
            <w:pPr>
              <w:ind w:right="-142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182,6</w:t>
            </w:r>
          </w:p>
        </w:tc>
        <w:tc>
          <w:tcPr>
            <w:tcW w:w="1063" w:type="dxa"/>
          </w:tcPr>
          <w:p>
            <w:r>
              <w:rPr>
                <w:sz w:val="24"/>
                <w:szCs w:val="24"/>
              </w:rPr>
              <w:t>182,6</w:t>
            </w:r>
          </w:p>
        </w:tc>
        <w:tc>
          <w:tcPr>
            <w:tcW w:w="1063" w:type="dxa"/>
          </w:tcPr>
          <w:p>
            <w:r>
              <w:rPr>
                <w:sz w:val="24"/>
                <w:szCs w:val="24"/>
              </w:rPr>
              <w:t>182,6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469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295,9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283,4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Налог на имущество физических лиц зачисляемый в бюджет поселения</w:t>
            </w:r>
          </w:p>
        </w:tc>
        <w:tc>
          <w:tcPr>
            <w:tcW w:w="1469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тыс.руб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1063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7,4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Земельный налог</w:t>
            </w:r>
          </w:p>
        </w:tc>
        <w:tc>
          <w:tcPr>
            <w:tcW w:w="1469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46" w:type="dxa"/>
          </w:tcPr>
          <w:p>
            <w:pPr>
              <w:pStyle w:val="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Неналоговые доходы</w:t>
            </w:r>
          </w:p>
        </w:tc>
        <w:tc>
          <w:tcPr>
            <w:tcW w:w="1469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062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39,1</w:t>
            </w:r>
          </w:p>
        </w:tc>
        <w:tc>
          <w:tcPr>
            <w:tcW w:w="1105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1063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73,0</w:t>
            </w:r>
          </w:p>
        </w:tc>
      </w:tr>
    </w:tbl>
    <w:p>
      <w:pPr>
        <w:contextualSpacing/>
        <w:jc w:val="both"/>
      </w:pPr>
    </w:p>
    <w:p>
      <w:pPr>
        <w:jc w:val="center"/>
        <w:rPr>
          <w:sz w:val="28"/>
          <w:szCs w:val="28"/>
        </w:rPr>
      </w:pPr>
    </w:p>
    <w:p>
      <w:pPr>
        <w:contextualSpacing/>
        <w:jc w:val="both"/>
      </w:pPr>
      <w:r>
        <w:rPr>
          <w:b/>
          <w:sz w:val="28"/>
          <w:szCs w:val="28"/>
        </w:rPr>
        <w:t xml:space="preserve"> </w:t>
      </w:r>
    </w:p>
    <w:p>
      <w:pPr>
        <w:jc w:val="center"/>
        <w:rPr>
          <w:sz w:val="28"/>
          <w:szCs w:val="28"/>
        </w:rPr>
      </w:pP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Ожидаемые итоги 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социально-экономического развития  сельского поселения «Галкинское»</w:t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2022 год </w:t>
      </w:r>
    </w:p>
    <w:p>
      <w:pPr>
        <w:contextualSpacing/>
        <w:jc w:val="center"/>
        <w:rPr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6"/>
        <w:gridCol w:w="1684"/>
        <w:gridCol w:w="1196"/>
        <w:gridCol w:w="19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19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938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- всего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Рождаемость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Смертность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Естественный прирост/ Естественная убыль «-»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КФХ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Самозанятые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торговых точек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работников торговли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фельдшерско – акушерскими пунктами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средним медицинским персоналом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общедоступными библиотеками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учреждениями культурно- досугового типа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детскими дошкольными</w:t>
            </w:r>
          </w:p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учреждениями</w:t>
            </w:r>
          </w:p>
        </w:tc>
        <w:tc>
          <w:tcPr>
            <w:tcW w:w="1684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учрежд.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физических лиц</w:t>
            </w:r>
          </w:p>
        </w:tc>
        <w:tc>
          <w:tcPr>
            <w:tcW w:w="1684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146,8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176,7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684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295,9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 зачисляемый в бюджет поселения</w:t>
            </w:r>
          </w:p>
        </w:tc>
        <w:tc>
          <w:tcPr>
            <w:tcW w:w="1684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</w:t>
            </w:r>
          </w:p>
          <w:p>
            <w:pPr>
              <w:contextualSpacing/>
              <w:rPr>
                <w:color w:val="FF0000"/>
                <w:sz w:val="24"/>
                <w:szCs w:val="24"/>
              </w:rPr>
            </w:pP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Земельный налог</w:t>
            </w:r>
          </w:p>
        </w:tc>
        <w:tc>
          <w:tcPr>
            <w:tcW w:w="1684" w:type="dxa"/>
          </w:tcPr>
          <w:p>
            <w:pPr>
              <w:jc w:val="center"/>
            </w:pPr>
            <w:r>
              <w:rPr>
                <w:sz w:val="24"/>
                <w:szCs w:val="24"/>
              </w:rPr>
              <w:t>тыс.руб.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291,1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276,0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46" w:type="dxa"/>
          </w:tcPr>
          <w:p>
            <w:pPr>
              <w:pStyle w:val="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68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тыс.руб</w:t>
            </w:r>
          </w:p>
        </w:tc>
        <w:tc>
          <w:tcPr>
            <w:tcW w:w="1196" w:type="dxa"/>
          </w:tcPr>
          <w:p>
            <w:pPr>
              <w:contextualSpacing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39,1</w:t>
            </w:r>
          </w:p>
        </w:tc>
        <w:tc>
          <w:tcPr>
            <w:tcW w:w="1938" w:type="dxa"/>
          </w:tcPr>
          <w:p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71,5</w:t>
            </w:r>
          </w:p>
        </w:tc>
      </w:tr>
    </w:tbl>
    <w:p>
      <w:pPr>
        <w:contextualSpacing/>
        <w:jc w:val="both"/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</w:t>
      </w:r>
    </w:p>
    <w:p>
      <w:pPr>
        <w:widowControl w:val="0"/>
        <w:autoSpaceDE w:val="0"/>
        <w:autoSpaceDN w:val="0"/>
        <w:adjustRightInd w:val="0"/>
        <w:jc w:val="center"/>
        <w:rPr>
          <w:b/>
          <w:kern w:val="2"/>
          <w:sz w:val="28"/>
          <w:szCs w:val="28"/>
          <w:lang w:eastAsia="ar-SA"/>
        </w:rPr>
      </w:pPr>
    </w:p>
    <w:p>
      <w:pPr>
        <w:widowControl w:val="0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>
      <w:pPr>
        <w:ind w:firstLine="851"/>
        <w:jc w:val="both"/>
        <w:rPr>
          <w:sz w:val="28"/>
          <w:szCs w:val="28"/>
        </w:rPr>
      </w:pPr>
    </w:p>
    <w:p>
      <w:pPr>
        <w:ind w:firstLine="851"/>
        <w:jc w:val="both"/>
        <w:rPr>
          <w:sz w:val="28"/>
          <w:szCs w:val="28"/>
        </w:rPr>
      </w:pPr>
    </w:p>
    <w:p>
      <w:pPr>
        <w:ind w:firstLine="851"/>
        <w:jc w:val="both"/>
        <w:rPr>
          <w:sz w:val="28"/>
          <w:szCs w:val="28"/>
        </w:rPr>
      </w:pPr>
    </w:p>
    <w:p>
      <w:pPr>
        <w:ind w:firstLine="851"/>
        <w:jc w:val="both"/>
        <w:rPr>
          <w:sz w:val="28"/>
          <w:szCs w:val="28"/>
        </w:rPr>
      </w:pPr>
    </w:p>
    <w:sectPr>
      <w:pgSz w:w="11906" w:h="16838"/>
      <w:pgMar w:top="1134" w:right="850" w:bottom="993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3F252C"/>
    <w:multiLevelType w:val="multilevel"/>
    <w:tmpl w:val="1D3F252C"/>
    <w:lvl w:ilvl="0" w:tentative="0">
      <w:start w:val="1"/>
      <w:numFmt w:val="decimal"/>
      <w:lvlText w:val="%1."/>
      <w:lvlJc w:val="left"/>
      <w:pPr>
        <w:tabs>
          <w:tab w:val="left" w:pos="1428"/>
        </w:tabs>
        <w:ind w:left="1428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2148"/>
        </w:tabs>
        <w:ind w:left="2148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868"/>
        </w:tabs>
        <w:ind w:left="2868" w:hanging="180"/>
      </w:pPr>
    </w:lvl>
    <w:lvl w:ilvl="3" w:tentative="0">
      <w:start w:val="1"/>
      <w:numFmt w:val="decimal"/>
      <w:lvlText w:val="%4."/>
      <w:lvlJc w:val="left"/>
      <w:pPr>
        <w:tabs>
          <w:tab w:val="left" w:pos="3588"/>
        </w:tabs>
        <w:ind w:left="3588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308"/>
        </w:tabs>
        <w:ind w:left="4308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028"/>
        </w:tabs>
        <w:ind w:left="5028" w:hanging="180"/>
      </w:pPr>
    </w:lvl>
    <w:lvl w:ilvl="6" w:tentative="0">
      <w:start w:val="1"/>
      <w:numFmt w:val="decimal"/>
      <w:lvlText w:val="%7."/>
      <w:lvlJc w:val="left"/>
      <w:pPr>
        <w:tabs>
          <w:tab w:val="left" w:pos="5748"/>
        </w:tabs>
        <w:ind w:left="5748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6468"/>
        </w:tabs>
        <w:ind w:left="6468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188"/>
        </w:tabs>
        <w:ind w:left="7188" w:hanging="180"/>
      </w:pPr>
    </w:lvl>
  </w:abstractNum>
  <w:abstractNum w:abstractNumId="1">
    <w:nsid w:val="39B93399"/>
    <w:multiLevelType w:val="multilevel"/>
    <w:tmpl w:val="39B93399"/>
    <w:lvl w:ilvl="0" w:tentative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3F"/>
    <w:rsid w:val="00022A3E"/>
    <w:rsid w:val="000657D2"/>
    <w:rsid w:val="000767FD"/>
    <w:rsid w:val="00086DD3"/>
    <w:rsid w:val="00093E5C"/>
    <w:rsid w:val="000A58AE"/>
    <w:rsid w:val="000B3375"/>
    <w:rsid w:val="000C4DE8"/>
    <w:rsid w:val="000F1556"/>
    <w:rsid w:val="001052AC"/>
    <w:rsid w:val="00152F65"/>
    <w:rsid w:val="00153A06"/>
    <w:rsid w:val="00162A3F"/>
    <w:rsid w:val="00167789"/>
    <w:rsid w:val="00177224"/>
    <w:rsid w:val="00182271"/>
    <w:rsid w:val="001A380F"/>
    <w:rsid w:val="001D735B"/>
    <w:rsid w:val="002025F6"/>
    <w:rsid w:val="00205906"/>
    <w:rsid w:val="00222E6A"/>
    <w:rsid w:val="00226B8E"/>
    <w:rsid w:val="002518D9"/>
    <w:rsid w:val="002608AB"/>
    <w:rsid w:val="00274850"/>
    <w:rsid w:val="00275BD1"/>
    <w:rsid w:val="002A6D8B"/>
    <w:rsid w:val="002D3DA3"/>
    <w:rsid w:val="003427C1"/>
    <w:rsid w:val="00350115"/>
    <w:rsid w:val="003623BA"/>
    <w:rsid w:val="003E64BC"/>
    <w:rsid w:val="00410B0B"/>
    <w:rsid w:val="004208C0"/>
    <w:rsid w:val="00425D34"/>
    <w:rsid w:val="00434704"/>
    <w:rsid w:val="00456071"/>
    <w:rsid w:val="004610E4"/>
    <w:rsid w:val="00476DC8"/>
    <w:rsid w:val="004952E8"/>
    <w:rsid w:val="004A1984"/>
    <w:rsid w:val="004B320B"/>
    <w:rsid w:val="004B66D9"/>
    <w:rsid w:val="004E50BD"/>
    <w:rsid w:val="00531ECA"/>
    <w:rsid w:val="00537414"/>
    <w:rsid w:val="005A412B"/>
    <w:rsid w:val="005A6B31"/>
    <w:rsid w:val="005B7EE4"/>
    <w:rsid w:val="005D63EB"/>
    <w:rsid w:val="005F0818"/>
    <w:rsid w:val="005F547D"/>
    <w:rsid w:val="00611D9E"/>
    <w:rsid w:val="0067293F"/>
    <w:rsid w:val="0067458F"/>
    <w:rsid w:val="006C592A"/>
    <w:rsid w:val="006C6345"/>
    <w:rsid w:val="006E103A"/>
    <w:rsid w:val="006E7EE4"/>
    <w:rsid w:val="00730F80"/>
    <w:rsid w:val="0074307A"/>
    <w:rsid w:val="007931D8"/>
    <w:rsid w:val="007A2D3D"/>
    <w:rsid w:val="007A671B"/>
    <w:rsid w:val="007C7864"/>
    <w:rsid w:val="007E6AEB"/>
    <w:rsid w:val="008322DB"/>
    <w:rsid w:val="0083262F"/>
    <w:rsid w:val="008418BA"/>
    <w:rsid w:val="008B70A0"/>
    <w:rsid w:val="008D7E74"/>
    <w:rsid w:val="00906244"/>
    <w:rsid w:val="0090627E"/>
    <w:rsid w:val="00940FA1"/>
    <w:rsid w:val="00950F90"/>
    <w:rsid w:val="00956254"/>
    <w:rsid w:val="0095660F"/>
    <w:rsid w:val="00984DA5"/>
    <w:rsid w:val="0099407C"/>
    <w:rsid w:val="009A6C5D"/>
    <w:rsid w:val="009A7638"/>
    <w:rsid w:val="009C2303"/>
    <w:rsid w:val="00A15D7E"/>
    <w:rsid w:val="00A23E28"/>
    <w:rsid w:val="00A45E37"/>
    <w:rsid w:val="00A549BB"/>
    <w:rsid w:val="00A9405B"/>
    <w:rsid w:val="00AC5870"/>
    <w:rsid w:val="00B05C7E"/>
    <w:rsid w:val="00B158D1"/>
    <w:rsid w:val="00B22206"/>
    <w:rsid w:val="00B300F0"/>
    <w:rsid w:val="00B51B24"/>
    <w:rsid w:val="00B61A46"/>
    <w:rsid w:val="00B64B71"/>
    <w:rsid w:val="00B65992"/>
    <w:rsid w:val="00B6754F"/>
    <w:rsid w:val="00B81528"/>
    <w:rsid w:val="00BB0BAF"/>
    <w:rsid w:val="00BC76D3"/>
    <w:rsid w:val="00BD1443"/>
    <w:rsid w:val="00BE0D5F"/>
    <w:rsid w:val="00BF1D3F"/>
    <w:rsid w:val="00C324C6"/>
    <w:rsid w:val="00C45142"/>
    <w:rsid w:val="00C5166C"/>
    <w:rsid w:val="00C576B0"/>
    <w:rsid w:val="00C76C5E"/>
    <w:rsid w:val="00C77874"/>
    <w:rsid w:val="00C85617"/>
    <w:rsid w:val="00D02134"/>
    <w:rsid w:val="00D31776"/>
    <w:rsid w:val="00D47482"/>
    <w:rsid w:val="00D510DC"/>
    <w:rsid w:val="00D517A4"/>
    <w:rsid w:val="00D62D1E"/>
    <w:rsid w:val="00D9137B"/>
    <w:rsid w:val="00DC0197"/>
    <w:rsid w:val="00DC637D"/>
    <w:rsid w:val="00DE6519"/>
    <w:rsid w:val="00DF11E8"/>
    <w:rsid w:val="00DF70D7"/>
    <w:rsid w:val="00E344AA"/>
    <w:rsid w:val="00E36D5D"/>
    <w:rsid w:val="00E5331F"/>
    <w:rsid w:val="00E54B89"/>
    <w:rsid w:val="00E62D95"/>
    <w:rsid w:val="00EA7509"/>
    <w:rsid w:val="00EC2B99"/>
    <w:rsid w:val="00EF7C24"/>
    <w:rsid w:val="00F00F2A"/>
    <w:rsid w:val="00F16D95"/>
    <w:rsid w:val="00F30E82"/>
    <w:rsid w:val="00F5795F"/>
    <w:rsid w:val="00F863F0"/>
    <w:rsid w:val="00FA0FB8"/>
    <w:rsid w:val="00FB0D01"/>
    <w:rsid w:val="00FF493E"/>
    <w:rsid w:val="1E5F7C34"/>
    <w:rsid w:val="30383A1C"/>
    <w:rsid w:val="30D734DE"/>
    <w:rsid w:val="35E310B6"/>
    <w:rsid w:val="36F977A0"/>
    <w:rsid w:val="43C42B51"/>
    <w:rsid w:val="5AEC2085"/>
    <w:rsid w:val="6B6209AB"/>
    <w:rsid w:val="6DF63B42"/>
    <w:rsid w:val="7CE027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5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7">
    <w:name w:val="No Spacing"/>
    <w:qFormat/>
    <w:uiPriority w:val="1"/>
    <w:rPr>
      <w:rFonts w:ascii="Calibri" w:hAnsi="Calibri" w:eastAsia="Times New Roman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6CC53-A0D0-4E7E-A334-BB04A58676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7</Pages>
  <Words>1543</Words>
  <Characters>8800</Characters>
  <Lines>73</Lines>
  <Paragraphs>20</Paragraphs>
  <TotalTime>20</TotalTime>
  <ScaleCrop>false</ScaleCrop>
  <LinksUpToDate>false</LinksUpToDate>
  <CharactersWithSpaces>10323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2022-11-21T08:45:00Z</dcterms:created>
  <dc:creator>Владелец</dc:creator>
  <cp:lastModifiedBy>васильевна</cp:lastModifiedBy>
  <cp:lastPrinted>2022-11-22T00:55:00Z</cp:lastPrinted>
  <dcterms:modified xsi:type="dcterms:W3CDTF">2022-11-22T01:12:38Z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042F1C39C565483EAF7623B48D3FA69E</vt:lpwstr>
  </property>
</Properties>
</file>