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after="0" w:line="240" w:lineRule="auto"/>
        <w:jc w:val="center"/>
        <w:outlineLvl w:val="3"/>
        <w:rPr>
          <w:rFonts w:ascii="Arial" w:hAnsi="Arial" w:eastAsia="Times New Roman" w:cs="Arial"/>
          <w:color w:val="333333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b/>
          <w:bCs/>
          <w:color w:val="333333"/>
          <w:sz w:val="28"/>
          <w:szCs w:val="28"/>
          <w:lang w:eastAsia="ru-RU"/>
        </w:rPr>
        <w:t>АДМИНИСТРАЦИЯ СЕЛЬСКОГО ПОСЕЛЕНИЯ «ГАЛКИНСКОЕ»</w:t>
      </w:r>
    </w:p>
    <w:p>
      <w:pPr>
        <w:shd w:val="clear" w:color="auto" w:fill="FFFFFF"/>
        <w:spacing w:after="0" w:line="240" w:lineRule="auto"/>
        <w:jc w:val="center"/>
        <w:outlineLvl w:val="3"/>
        <w:rPr>
          <w:rFonts w:ascii="Arial" w:hAnsi="Arial" w:eastAsia="Times New Roman" w:cs="Arial"/>
          <w:b/>
          <w:bCs/>
          <w:color w:val="333333"/>
          <w:sz w:val="24"/>
          <w:szCs w:val="24"/>
          <w:lang w:eastAsia="ru-RU"/>
        </w:rPr>
      </w:pPr>
    </w:p>
    <w:p>
      <w:pPr>
        <w:shd w:val="clear" w:color="auto" w:fill="FFFFFF"/>
        <w:spacing w:after="0" w:line="240" w:lineRule="auto"/>
        <w:jc w:val="center"/>
        <w:outlineLvl w:val="3"/>
        <w:rPr>
          <w:rFonts w:hint="default" w:ascii="Times New Roman" w:hAnsi="Times New Roman" w:eastAsia="Times New Roman" w:cs="Times New Roman"/>
          <w:b/>
          <w:bCs/>
          <w:color w:val="333333"/>
          <w:sz w:val="32"/>
          <w:szCs w:val="32"/>
          <w:lang w:eastAsia="ru-RU"/>
        </w:rPr>
      </w:pPr>
      <w:r>
        <w:rPr>
          <w:rFonts w:hint="default" w:ascii="Times New Roman" w:hAnsi="Times New Roman" w:eastAsia="Times New Roman" w:cs="Times New Roman"/>
          <w:b/>
          <w:bCs/>
          <w:color w:val="333333"/>
          <w:sz w:val="32"/>
          <w:szCs w:val="32"/>
          <w:lang w:eastAsia="ru-RU"/>
        </w:rPr>
        <w:t>ПОСТАНОВЛЕНИЕ</w:t>
      </w:r>
    </w:p>
    <w:p>
      <w:pPr>
        <w:shd w:val="clear" w:color="auto" w:fill="FFFFFF"/>
        <w:spacing w:after="0" w:line="240" w:lineRule="auto"/>
        <w:jc w:val="center"/>
        <w:outlineLvl w:val="3"/>
        <w:rPr>
          <w:rFonts w:hint="default" w:ascii="Arial" w:hAnsi="Arial" w:eastAsia="Times New Roman" w:cs="Arial"/>
          <w:b/>
          <w:bCs/>
          <w:color w:val="333333"/>
          <w:sz w:val="24"/>
          <w:szCs w:val="24"/>
          <w:lang w:val="en-US" w:eastAsia="ru-RU"/>
        </w:rPr>
      </w:pPr>
      <w:r>
        <w:rPr>
          <w:rFonts w:hint="default" w:ascii="Arial" w:hAnsi="Arial" w:eastAsia="Times New Roman" w:cs="Arial"/>
          <w:b/>
          <w:bCs/>
          <w:color w:val="333333"/>
          <w:sz w:val="24"/>
          <w:szCs w:val="24"/>
          <w:lang w:val="en-US" w:eastAsia="ru-RU"/>
        </w:rPr>
        <w:t xml:space="preserve">                                                                                                            </w:t>
      </w:r>
    </w:p>
    <w:p>
      <w:pPr>
        <w:shd w:val="clear" w:color="auto" w:fill="FFFFFF"/>
        <w:spacing w:after="0" w:line="240" w:lineRule="auto"/>
        <w:jc w:val="both"/>
        <w:outlineLvl w:val="3"/>
        <w:rPr>
          <w:rFonts w:hint="default" w:ascii="Times New Roman" w:hAnsi="Times New Roman" w:eastAsia="Times New Roman" w:cs="Times New Roman"/>
          <w:b w:val="0"/>
          <w:bCs w:val="0"/>
          <w:color w:val="333333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b w:val="0"/>
          <w:bCs w:val="0"/>
          <w:color w:val="333333"/>
          <w:sz w:val="28"/>
          <w:szCs w:val="28"/>
          <w:lang w:val="en-US" w:eastAsia="ru-RU"/>
        </w:rPr>
        <w:t xml:space="preserve">22 июня </w:t>
      </w:r>
      <w:r>
        <w:rPr>
          <w:rFonts w:hint="default" w:ascii="Times New Roman" w:hAnsi="Times New Roman" w:eastAsia="Times New Roman" w:cs="Times New Roman"/>
          <w:b w:val="0"/>
          <w:bCs w:val="0"/>
          <w:color w:val="333333"/>
          <w:sz w:val="28"/>
          <w:szCs w:val="28"/>
          <w:lang w:eastAsia="ru-RU"/>
        </w:rPr>
        <w:t xml:space="preserve"> 20</w:t>
      </w:r>
      <w:r>
        <w:rPr>
          <w:rFonts w:hint="default" w:ascii="Times New Roman" w:hAnsi="Times New Roman" w:eastAsia="Times New Roman" w:cs="Times New Roman"/>
          <w:b w:val="0"/>
          <w:bCs w:val="0"/>
          <w:color w:val="333333"/>
          <w:sz w:val="28"/>
          <w:szCs w:val="28"/>
          <w:lang w:val="en-US" w:eastAsia="ru-RU"/>
        </w:rPr>
        <w:t>21</w:t>
      </w:r>
      <w:r>
        <w:rPr>
          <w:rFonts w:hint="default" w:ascii="Times New Roman" w:hAnsi="Times New Roman" w:eastAsia="Times New Roman" w:cs="Times New Roman"/>
          <w:b w:val="0"/>
          <w:bCs w:val="0"/>
          <w:color w:val="333333"/>
          <w:sz w:val="28"/>
          <w:szCs w:val="28"/>
          <w:lang w:eastAsia="ru-RU"/>
        </w:rPr>
        <w:t>                                                                                           </w:t>
      </w:r>
      <w:r>
        <w:rPr>
          <w:rFonts w:hint="default" w:ascii="Times New Roman" w:hAnsi="Times New Roman" w:eastAsia="Times New Roman" w:cs="Times New Roman"/>
          <w:b w:val="0"/>
          <w:bCs w:val="0"/>
          <w:color w:val="333333"/>
          <w:sz w:val="28"/>
          <w:szCs w:val="28"/>
          <w:lang w:val="en-US" w:eastAsia="ru-RU"/>
        </w:rPr>
        <w:t xml:space="preserve">  </w:t>
      </w:r>
      <w:r>
        <w:rPr>
          <w:rFonts w:hint="default" w:ascii="Times New Roman" w:hAnsi="Times New Roman" w:eastAsia="Times New Roman" w:cs="Times New Roman"/>
          <w:b w:val="0"/>
          <w:bCs w:val="0"/>
          <w:color w:val="333333"/>
          <w:sz w:val="28"/>
          <w:szCs w:val="28"/>
          <w:lang w:eastAsia="ru-RU"/>
        </w:rPr>
        <w:t xml:space="preserve">   </w:t>
      </w:r>
      <w:r>
        <w:rPr>
          <w:rFonts w:hint="default" w:ascii="Times New Roman" w:hAnsi="Times New Roman" w:eastAsia="Times New Roman" w:cs="Times New Roman"/>
          <w:b w:val="0"/>
          <w:bCs w:val="0"/>
          <w:color w:val="333333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333333"/>
          <w:sz w:val="28"/>
          <w:szCs w:val="28"/>
          <w:lang w:eastAsia="ru-RU"/>
        </w:rPr>
        <w:t xml:space="preserve">№ </w:t>
      </w:r>
      <w:r>
        <w:rPr>
          <w:rFonts w:hint="default" w:ascii="Times New Roman" w:hAnsi="Times New Roman" w:eastAsia="Times New Roman" w:cs="Times New Roman"/>
          <w:b w:val="0"/>
          <w:bCs w:val="0"/>
          <w:color w:val="333333"/>
          <w:sz w:val="28"/>
          <w:szCs w:val="28"/>
          <w:lang w:val="en-US" w:eastAsia="ru-RU"/>
        </w:rPr>
        <w:t>25</w:t>
      </w:r>
    </w:p>
    <w:p>
      <w:pPr>
        <w:shd w:val="clear" w:color="auto" w:fill="FFFFFF"/>
        <w:spacing w:after="0" w:line="240" w:lineRule="auto"/>
        <w:jc w:val="center"/>
        <w:outlineLvl w:val="3"/>
        <w:rPr>
          <w:rFonts w:hint="default" w:ascii="Times New Roman" w:hAnsi="Times New Roman" w:eastAsia="Times New Roman" w:cs="Times New Roman"/>
          <w:b w:val="0"/>
          <w:bCs w:val="0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 w:val="0"/>
          <w:bCs w:val="0"/>
          <w:color w:val="333333"/>
          <w:sz w:val="28"/>
          <w:szCs w:val="28"/>
          <w:lang w:eastAsia="ru-RU"/>
        </w:rPr>
        <w:t>с.Галкино</w:t>
      </w:r>
    </w:p>
    <w:p>
      <w:pPr>
        <w:shd w:val="clear" w:color="auto" w:fill="FFFFFF"/>
        <w:spacing w:after="0" w:line="240" w:lineRule="auto"/>
        <w:jc w:val="center"/>
        <w:outlineLvl w:val="3"/>
        <w:rPr>
          <w:rFonts w:hint="default" w:ascii="Times New Roman" w:hAnsi="Times New Roman" w:eastAsia="Times New Roman" w:cs="Times New Roman"/>
          <w:b/>
          <w:bCs/>
          <w:color w:val="333333"/>
          <w:sz w:val="28"/>
          <w:szCs w:val="28"/>
          <w:lang w:eastAsia="ru-RU"/>
        </w:rPr>
      </w:pPr>
    </w:p>
    <w:p>
      <w:pPr>
        <w:shd w:val="clear" w:color="auto" w:fill="FFFFFF"/>
        <w:spacing w:after="0" w:line="240" w:lineRule="auto"/>
        <w:jc w:val="both"/>
        <w:outlineLvl w:val="3"/>
        <w:rPr>
          <w:rFonts w:hint="default" w:ascii="Times New Roman" w:hAnsi="Times New Roman" w:eastAsia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bCs/>
          <w:color w:val="333333"/>
          <w:sz w:val="28"/>
          <w:szCs w:val="28"/>
          <w:lang w:eastAsia="ru-RU"/>
        </w:rPr>
        <w:t>Об утверждении Порядка составления проекта бюджета сельского поселения «Галкинское» на 20</w:t>
      </w:r>
      <w:r>
        <w:rPr>
          <w:rFonts w:hint="default" w:ascii="Times New Roman" w:hAnsi="Times New Roman" w:eastAsia="Times New Roman" w:cs="Times New Roman"/>
          <w:b/>
          <w:bCs/>
          <w:color w:val="333333"/>
          <w:sz w:val="28"/>
          <w:szCs w:val="28"/>
          <w:lang w:val="en-US" w:eastAsia="ru-RU"/>
        </w:rPr>
        <w:t>22</w:t>
      </w:r>
      <w:r>
        <w:rPr>
          <w:rFonts w:hint="default" w:ascii="Times New Roman" w:hAnsi="Times New Roman" w:eastAsia="Times New Roman" w:cs="Times New Roman"/>
          <w:b/>
          <w:bCs/>
          <w:color w:val="333333"/>
          <w:sz w:val="28"/>
          <w:szCs w:val="28"/>
          <w:lang w:eastAsia="ru-RU"/>
        </w:rPr>
        <w:t xml:space="preserve"> год и на плановый период 202</w:t>
      </w:r>
      <w:r>
        <w:rPr>
          <w:rFonts w:hint="default" w:ascii="Times New Roman" w:hAnsi="Times New Roman" w:eastAsia="Times New Roman" w:cs="Times New Roman"/>
          <w:b/>
          <w:bCs/>
          <w:color w:val="333333"/>
          <w:sz w:val="28"/>
          <w:szCs w:val="28"/>
          <w:lang w:val="en-US" w:eastAsia="ru-RU"/>
        </w:rPr>
        <w:t>3</w:t>
      </w:r>
      <w:r>
        <w:rPr>
          <w:rFonts w:hint="default" w:ascii="Times New Roman" w:hAnsi="Times New Roman" w:eastAsia="Times New Roman" w:cs="Times New Roman"/>
          <w:b/>
          <w:bCs/>
          <w:color w:val="333333"/>
          <w:sz w:val="28"/>
          <w:szCs w:val="28"/>
          <w:lang w:eastAsia="ru-RU"/>
        </w:rPr>
        <w:t xml:space="preserve"> и 202</w:t>
      </w:r>
      <w:r>
        <w:rPr>
          <w:rFonts w:hint="default" w:ascii="Times New Roman" w:hAnsi="Times New Roman" w:eastAsia="Times New Roman" w:cs="Times New Roman"/>
          <w:b/>
          <w:bCs/>
          <w:color w:val="333333"/>
          <w:sz w:val="28"/>
          <w:szCs w:val="28"/>
          <w:lang w:val="en-US" w:eastAsia="ru-RU"/>
        </w:rPr>
        <w:t>4</w:t>
      </w:r>
      <w:r>
        <w:rPr>
          <w:rFonts w:hint="default" w:ascii="Times New Roman" w:hAnsi="Times New Roman" w:eastAsia="Times New Roman" w:cs="Times New Roman"/>
          <w:b/>
          <w:bCs/>
          <w:color w:val="333333"/>
          <w:sz w:val="28"/>
          <w:szCs w:val="28"/>
          <w:lang w:eastAsia="ru-RU"/>
        </w:rPr>
        <w:t xml:space="preserve"> год</w:t>
      </w:r>
    </w:p>
    <w:p>
      <w:pPr>
        <w:shd w:val="clear" w:color="auto" w:fill="FFFFFF"/>
        <w:spacing w:after="0" w:line="240" w:lineRule="auto"/>
        <w:jc w:val="both"/>
        <w:outlineLvl w:val="3"/>
        <w:rPr>
          <w:rFonts w:hint="default" w:ascii="Times New Roman" w:hAnsi="Times New Roman" w:eastAsia="Times New Roman" w:cs="Times New Roman"/>
          <w:b/>
          <w:bCs/>
          <w:color w:val="333333"/>
          <w:sz w:val="28"/>
          <w:szCs w:val="28"/>
          <w:lang w:eastAsia="ru-RU"/>
        </w:rPr>
      </w:pPr>
    </w:p>
    <w:p>
      <w:pPr>
        <w:shd w:val="clear" w:color="auto" w:fill="FFFFFF"/>
        <w:spacing w:after="150" w:line="240" w:lineRule="auto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В соответствии с пунктом 2 статьи 169 Бюджетного кодекса Российской Федерации, администрация сельского поселения «Галкинское» постановляет:</w:t>
      </w:r>
    </w:p>
    <w:p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Утвердить Порядок составления проекта бюджета сельского поселения «Галкинское» на 20</w:t>
      </w: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val="en-US" w:eastAsia="ru-RU"/>
        </w:rPr>
        <w:t>22</w:t>
      </w: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 год и на плановый период 202</w:t>
      </w: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val="en-US" w:eastAsia="ru-RU"/>
        </w:rPr>
        <w:t>3</w:t>
      </w: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 и 202</w:t>
      </w: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val="en-US" w:eastAsia="ru-RU"/>
        </w:rPr>
        <w:t>4</w:t>
      </w: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годов согласно, приложения. </w:t>
      </w:r>
    </w:p>
    <w:p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 Настоящее постановление обнародовать на официальном сайте «галкинское.рф» </w:t>
      </w:r>
    </w:p>
    <w:p>
      <w:pPr>
        <w:numPr>
          <w:ilvl w:val="0"/>
          <w:numId w:val="0"/>
        </w:numPr>
        <w:shd w:val="clear" w:color="auto" w:fill="FFFFFF"/>
        <w:spacing w:after="150" w:line="240" w:lineRule="auto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3. Контроль за исполнением настоящего постановления оставляю за собой.</w:t>
      </w:r>
    </w:p>
    <w:p>
      <w:pPr>
        <w:shd w:val="clear" w:color="auto" w:fill="FFFFFF"/>
        <w:spacing w:after="150" w:line="240" w:lineRule="auto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Глава администрации сельского поселения </w:t>
      </w:r>
    </w:p>
    <w:p>
      <w:pPr>
        <w:shd w:val="clear" w:color="auto" w:fill="FFFFFF"/>
        <w:spacing w:after="150" w:line="240" w:lineRule="auto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«Галкинское»                 </w:t>
      </w: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val="en-US" w:eastAsia="ru-RU"/>
        </w:rPr>
        <w:t xml:space="preserve">                                                               </w:t>
      </w: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И.В. Миронов</w:t>
      </w:r>
    </w:p>
    <w:p>
      <w:pPr>
        <w:shd w:val="clear" w:color="auto" w:fill="FFFFFF"/>
        <w:spacing w:after="150" w:line="240" w:lineRule="auto"/>
        <w:rPr>
          <w:rFonts w:ascii="Arial" w:hAnsi="Arial" w:eastAsia="Times New Roman" w:cs="Arial"/>
          <w:color w:val="333333"/>
          <w:sz w:val="20"/>
          <w:szCs w:val="20"/>
          <w:lang w:eastAsia="ru-RU"/>
        </w:rPr>
      </w:pPr>
    </w:p>
    <w:p>
      <w:pPr>
        <w:shd w:val="clear" w:color="auto" w:fill="FFFFFF"/>
        <w:spacing w:after="150" w:line="240" w:lineRule="auto"/>
        <w:rPr>
          <w:rFonts w:ascii="Arial" w:hAnsi="Arial" w:eastAsia="Times New Roman" w:cs="Arial"/>
          <w:color w:val="333333"/>
          <w:sz w:val="20"/>
          <w:szCs w:val="20"/>
          <w:lang w:eastAsia="ru-RU"/>
        </w:rPr>
      </w:pPr>
    </w:p>
    <w:p>
      <w:pPr>
        <w:shd w:val="clear" w:color="auto" w:fill="FFFFFF"/>
        <w:spacing w:after="150" w:line="240" w:lineRule="auto"/>
        <w:rPr>
          <w:rFonts w:ascii="Arial" w:hAnsi="Arial" w:eastAsia="Times New Roman" w:cs="Arial"/>
          <w:color w:val="333333"/>
          <w:sz w:val="20"/>
          <w:szCs w:val="20"/>
          <w:lang w:eastAsia="ru-RU"/>
        </w:rPr>
      </w:pPr>
    </w:p>
    <w:p>
      <w:pPr>
        <w:shd w:val="clear" w:color="auto" w:fill="FFFFFF"/>
        <w:spacing w:after="150" w:line="240" w:lineRule="auto"/>
        <w:rPr>
          <w:rFonts w:ascii="Arial" w:hAnsi="Arial" w:eastAsia="Times New Roman" w:cs="Arial"/>
          <w:color w:val="333333"/>
          <w:sz w:val="20"/>
          <w:szCs w:val="20"/>
          <w:lang w:eastAsia="ru-RU"/>
        </w:rPr>
      </w:pPr>
    </w:p>
    <w:p>
      <w:pPr>
        <w:shd w:val="clear" w:color="auto" w:fill="FFFFFF"/>
        <w:spacing w:after="150" w:line="240" w:lineRule="auto"/>
        <w:rPr>
          <w:rFonts w:ascii="Arial" w:hAnsi="Arial" w:eastAsia="Times New Roman" w:cs="Arial"/>
          <w:color w:val="333333"/>
          <w:sz w:val="20"/>
          <w:szCs w:val="20"/>
          <w:lang w:eastAsia="ru-RU"/>
        </w:rPr>
      </w:pPr>
    </w:p>
    <w:p>
      <w:pPr>
        <w:shd w:val="clear" w:color="auto" w:fill="FFFFFF"/>
        <w:spacing w:after="150" w:line="240" w:lineRule="auto"/>
        <w:rPr>
          <w:rFonts w:ascii="Arial" w:hAnsi="Arial" w:eastAsia="Times New Roman" w:cs="Arial"/>
          <w:color w:val="333333"/>
          <w:sz w:val="20"/>
          <w:szCs w:val="20"/>
          <w:lang w:eastAsia="ru-RU"/>
        </w:rPr>
      </w:pPr>
    </w:p>
    <w:p>
      <w:pPr>
        <w:shd w:val="clear" w:color="auto" w:fill="FFFFFF"/>
        <w:spacing w:after="150" w:line="240" w:lineRule="auto"/>
        <w:rPr>
          <w:rFonts w:ascii="Arial" w:hAnsi="Arial" w:eastAsia="Times New Roman" w:cs="Arial"/>
          <w:color w:val="333333"/>
          <w:sz w:val="20"/>
          <w:szCs w:val="20"/>
          <w:lang w:eastAsia="ru-RU"/>
        </w:rPr>
      </w:pPr>
    </w:p>
    <w:p>
      <w:pPr>
        <w:shd w:val="clear" w:color="auto" w:fill="FFFFFF"/>
        <w:spacing w:after="150" w:line="240" w:lineRule="auto"/>
        <w:rPr>
          <w:rFonts w:ascii="Arial" w:hAnsi="Arial" w:eastAsia="Times New Roman" w:cs="Arial"/>
          <w:color w:val="333333"/>
          <w:sz w:val="20"/>
          <w:szCs w:val="20"/>
          <w:lang w:eastAsia="ru-RU"/>
        </w:rPr>
      </w:pPr>
    </w:p>
    <w:p>
      <w:pPr>
        <w:shd w:val="clear" w:color="auto" w:fill="FFFFFF"/>
        <w:spacing w:after="150" w:line="240" w:lineRule="auto"/>
        <w:rPr>
          <w:rFonts w:ascii="Arial" w:hAnsi="Arial" w:eastAsia="Times New Roman" w:cs="Arial"/>
          <w:color w:val="333333"/>
          <w:sz w:val="20"/>
          <w:szCs w:val="20"/>
          <w:lang w:eastAsia="ru-RU"/>
        </w:rPr>
      </w:pPr>
    </w:p>
    <w:p>
      <w:pPr>
        <w:shd w:val="clear" w:color="auto" w:fill="FFFFFF"/>
        <w:spacing w:after="150" w:line="240" w:lineRule="auto"/>
        <w:rPr>
          <w:rFonts w:ascii="Arial" w:hAnsi="Arial" w:eastAsia="Times New Roman" w:cs="Arial"/>
          <w:color w:val="333333"/>
          <w:sz w:val="20"/>
          <w:szCs w:val="20"/>
          <w:lang w:eastAsia="ru-RU"/>
        </w:rPr>
      </w:pPr>
    </w:p>
    <w:p>
      <w:pPr>
        <w:shd w:val="clear" w:color="auto" w:fill="FFFFFF"/>
        <w:spacing w:after="150" w:line="240" w:lineRule="auto"/>
        <w:rPr>
          <w:rFonts w:ascii="Arial" w:hAnsi="Arial" w:eastAsia="Times New Roman" w:cs="Arial"/>
          <w:color w:val="333333"/>
          <w:sz w:val="20"/>
          <w:szCs w:val="20"/>
          <w:lang w:eastAsia="ru-RU"/>
        </w:rPr>
      </w:pPr>
    </w:p>
    <w:p>
      <w:pPr>
        <w:shd w:val="clear" w:color="auto" w:fill="FFFFFF"/>
        <w:spacing w:after="150" w:line="240" w:lineRule="auto"/>
        <w:rPr>
          <w:rFonts w:ascii="Arial" w:hAnsi="Arial" w:eastAsia="Times New Roman" w:cs="Arial"/>
          <w:color w:val="333333"/>
          <w:sz w:val="20"/>
          <w:szCs w:val="20"/>
          <w:lang w:eastAsia="ru-RU"/>
        </w:rPr>
      </w:pPr>
    </w:p>
    <w:p>
      <w:pPr>
        <w:shd w:val="clear" w:color="auto" w:fill="FFFFFF"/>
        <w:spacing w:after="150" w:line="240" w:lineRule="auto"/>
        <w:rPr>
          <w:rFonts w:ascii="Arial" w:hAnsi="Arial" w:eastAsia="Times New Roman" w:cs="Arial"/>
          <w:color w:val="333333"/>
          <w:sz w:val="20"/>
          <w:szCs w:val="20"/>
          <w:lang w:eastAsia="ru-RU"/>
        </w:rPr>
      </w:pPr>
    </w:p>
    <w:p>
      <w:pPr>
        <w:shd w:val="clear" w:color="auto" w:fill="FFFFFF"/>
        <w:spacing w:after="150" w:line="240" w:lineRule="auto"/>
        <w:rPr>
          <w:rFonts w:ascii="Arial" w:hAnsi="Arial" w:eastAsia="Times New Roman" w:cs="Arial"/>
          <w:color w:val="333333"/>
          <w:sz w:val="20"/>
          <w:szCs w:val="20"/>
          <w:lang w:eastAsia="ru-RU"/>
        </w:rPr>
      </w:pPr>
    </w:p>
    <w:p>
      <w:pPr>
        <w:shd w:val="clear" w:color="auto" w:fill="FFFFFF"/>
        <w:spacing w:after="150" w:line="240" w:lineRule="auto"/>
        <w:rPr>
          <w:rFonts w:ascii="Arial" w:hAnsi="Arial" w:eastAsia="Times New Roman" w:cs="Arial"/>
          <w:color w:val="333333"/>
          <w:sz w:val="20"/>
          <w:szCs w:val="20"/>
          <w:lang w:eastAsia="ru-RU"/>
        </w:rPr>
      </w:pPr>
    </w:p>
    <w:p>
      <w:pPr>
        <w:shd w:val="clear" w:color="auto" w:fill="FFFFFF"/>
        <w:spacing w:after="150" w:line="240" w:lineRule="auto"/>
        <w:rPr>
          <w:rFonts w:ascii="Arial" w:hAnsi="Arial" w:eastAsia="Times New Roman" w:cs="Arial"/>
          <w:color w:val="333333"/>
          <w:sz w:val="20"/>
          <w:szCs w:val="20"/>
          <w:lang w:eastAsia="ru-RU"/>
        </w:rPr>
      </w:pPr>
    </w:p>
    <w:p>
      <w:pPr>
        <w:shd w:val="clear" w:color="auto" w:fill="FFFFFF"/>
        <w:spacing w:after="150" w:line="240" w:lineRule="auto"/>
        <w:rPr>
          <w:rFonts w:ascii="Arial" w:hAnsi="Arial" w:eastAsia="Times New Roman" w:cs="Arial"/>
          <w:color w:val="333333"/>
          <w:sz w:val="20"/>
          <w:szCs w:val="20"/>
          <w:lang w:eastAsia="ru-RU"/>
        </w:rPr>
      </w:pPr>
    </w:p>
    <w:p>
      <w:pPr>
        <w:shd w:val="clear" w:color="auto" w:fill="FFFFFF"/>
        <w:spacing w:after="150" w:line="240" w:lineRule="auto"/>
        <w:rPr>
          <w:rFonts w:ascii="Arial" w:hAnsi="Arial" w:eastAsia="Times New Roman" w:cs="Arial"/>
          <w:color w:val="333333"/>
          <w:sz w:val="20"/>
          <w:szCs w:val="20"/>
          <w:lang w:eastAsia="ru-RU"/>
        </w:rPr>
      </w:pPr>
    </w:p>
    <w:p>
      <w:pPr>
        <w:shd w:val="clear" w:color="auto" w:fill="FFFFFF"/>
        <w:spacing w:after="150" w:line="240" w:lineRule="auto"/>
        <w:rPr>
          <w:rFonts w:ascii="Arial" w:hAnsi="Arial" w:eastAsia="Times New Roman" w:cs="Arial"/>
          <w:color w:val="333333"/>
          <w:sz w:val="20"/>
          <w:szCs w:val="20"/>
          <w:lang w:eastAsia="ru-RU"/>
        </w:rPr>
      </w:pPr>
    </w:p>
    <w:p>
      <w:pPr>
        <w:shd w:val="clear" w:color="auto" w:fill="FFFFFF"/>
        <w:spacing w:after="150" w:line="240" w:lineRule="auto"/>
        <w:rPr>
          <w:rFonts w:hint="default" w:ascii="Times New Roman" w:hAnsi="Times New Roman" w:eastAsia="Times New Roman" w:cs="Times New Roman"/>
          <w:color w:val="333333"/>
          <w:sz w:val="20"/>
          <w:szCs w:val="20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0"/>
          <w:szCs w:val="20"/>
          <w:lang w:eastAsia="ru-RU"/>
        </w:rPr>
        <w:t>Приложение 1</w:t>
      </w:r>
    </w:p>
    <w:p>
      <w:pPr>
        <w:shd w:val="clear" w:color="auto" w:fill="FFFFFF"/>
        <w:spacing w:after="150" w:line="240" w:lineRule="auto"/>
        <w:rPr>
          <w:rFonts w:hint="default" w:ascii="Times New Roman" w:hAnsi="Times New Roman" w:eastAsia="Times New Roman" w:cs="Times New Roman"/>
          <w:color w:val="333333"/>
          <w:sz w:val="20"/>
          <w:szCs w:val="20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0"/>
          <w:szCs w:val="20"/>
          <w:lang w:eastAsia="ru-RU"/>
        </w:rPr>
        <w:t>к постановлению администрации сельского поселения «Галкинское»</w:t>
      </w:r>
    </w:p>
    <w:p>
      <w:pPr>
        <w:shd w:val="clear" w:color="auto" w:fill="FFFFFF"/>
        <w:spacing w:after="150" w:line="240" w:lineRule="auto"/>
        <w:rPr>
          <w:rFonts w:hint="default" w:ascii="Times New Roman" w:hAnsi="Times New Roman" w:eastAsia="Times New Roman" w:cs="Times New Roman"/>
          <w:color w:val="333333"/>
          <w:sz w:val="20"/>
          <w:szCs w:val="20"/>
          <w:lang w:val="en-US"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0"/>
          <w:szCs w:val="20"/>
          <w:lang w:eastAsia="ru-RU"/>
        </w:rPr>
        <w:t xml:space="preserve">от </w:t>
      </w:r>
      <w:r>
        <w:rPr>
          <w:rFonts w:hint="default" w:ascii="Times New Roman" w:hAnsi="Times New Roman" w:eastAsia="Times New Roman" w:cs="Times New Roman"/>
          <w:color w:val="333333"/>
          <w:sz w:val="20"/>
          <w:szCs w:val="20"/>
          <w:lang w:val="en-US" w:eastAsia="ru-RU"/>
        </w:rPr>
        <w:t xml:space="preserve"> 22 июня  </w:t>
      </w:r>
      <w:r>
        <w:rPr>
          <w:rFonts w:hint="default" w:ascii="Times New Roman" w:hAnsi="Times New Roman" w:eastAsia="Times New Roman" w:cs="Times New Roman"/>
          <w:color w:val="333333"/>
          <w:sz w:val="20"/>
          <w:szCs w:val="20"/>
          <w:lang w:eastAsia="ru-RU"/>
        </w:rPr>
        <w:t>20</w:t>
      </w:r>
      <w:r>
        <w:rPr>
          <w:rFonts w:hint="default" w:ascii="Times New Roman" w:hAnsi="Times New Roman" w:eastAsia="Times New Roman" w:cs="Times New Roman"/>
          <w:color w:val="333333"/>
          <w:sz w:val="20"/>
          <w:szCs w:val="20"/>
          <w:lang w:val="en-US" w:eastAsia="ru-RU"/>
        </w:rPr>
        <w:t>21</w:t>
      </w:r>
      <w:r>
        <w:rPr>
          <w:rFonts w:hint="default" w:ascii="Times New Roman" w:hAnsi="Times New Roman" w:eastAsia="Times New Roman" w:cs="Times New Roman"/>
          <w:color w:val="333333"/>
          <w:sz w:val="20"/>
          <w:szCs w:val="20"/>
          <w:lang w:eastAsia="ru-RU"/>
        </w:rPr>
        <w:t xml:space="preserve"> № </w:t>
      </w:r>
      <w:r>
        <w:rPr>
          <w:rFonts w:hint="default" w:ascii="Times New Roman" w:hAnsi="Times New Roman" w:eastAsia="Times New Roman" w:cs="Times New Roman"/>
          <w:color w:val="333333"/>
          <w:sz w:val="20"/>
          <w:szCs w:val="20"/>
          <w:lang w:val="en-US" w:eastAsia="ru-RU"/>
        </w:rPr>
        <w:t>25</w:t>
      </w:r>
    </w:p>
    <w:p>
      <w:pPr>
        <w:shd w:val="clear" w:color="auto" w:fill="FFFFFF"/>
        <w:spacing w:after="150" w:line="240" w:lineRule="auto"/>
        <w:rPr>
          <w:rFonts w:ascii="Arial" w:hAnsi="Arial" w:eastAsia="Times New Roman" w:cs="Arial"/>
          <w:color w:val="333333"/>
          <w:sz w:val="20"/>
          <w:szCs w:val="20"/>
          <w:lang w:eastAsia="ru-RU"/>
        </w:rPr>
      </w:pPr>
      <w:r>
        <w:rPr>
          <w:rFonts w:hint="default" w:ascii="Times New Roman" w:hAnsi="Times New Roman" w:eastAsia="Times New Roman" w:cs="Times New Roman"/>
          <w:b/>
          <w:bCs/>
          <w:color w:val="333333"/>
          <w:sz w:val="28"/>
          <w:szCs w:val="28"/>
          <w:lang w:eastAsia="ru-RU"/>
        </w:rPr>
        <w:t>Порядок составления проекта бюджета сельского поселения  на 20</w:t>
      </w:r>
      <w:r>
        <w:rPr>
          <w:rFonts w:hint="default" w:ascii="Times New Roman" w:hAnsi="Times New Roman" w:eastAsia="Times New Roman" w:cs="Times New Roman"/>
          <w:b/>
          <w:bCs/>
          <w:color w:val="333333"/>
          <w:sz w:val="28"/>
          <w:szCs w:val="28"/>
          <w:lang w:val="en-US" w:eastAsia="ru-RU"/>
        </w:rPr>
        <w:t>22</w:t>
      </w:r>
      <w:r>
        <w:rPr>
          <w:rFonts w:hint="default" w:ascii="Times New Roman" w:hAnsi="Times New Roman" w:eastAsia="Times New Roman" w:cs="Times New Roman"/>
          <w:b/>
          <w:bCs/>
          <w:color w:val="333333"/>
          <w:sz w:val="28"/>
          <w:szCs w:val="28"/>
          <w:lang w:eastAsia="ru-RU"/>
        </w:rPr>
        <w:t xml:space="preserve"> год и на плановый период 202</w:t>
      </w:r>
      <w:r>
        <w:rPr>
          <w:rFonts w:hint="default" w:ascii="Times New Roman" w:hAnsi="Times New Roman" w:eastAsia="Times New Roman" w:cs="Times New Roman"/>
          <w:b/>
          <w:bCs/>
          <w:color w:val="333333"/>
          <w:sz w:val="28"/>
          <w:szCs w:val="28"/>
          <w:lang w:val="en-US" w:eastAsia="ru-RU"/>
        </w:rPr>
        <w:t>3</w:t>
      </w:r>
      <w:r>
        <w:rPr>
          <w:rFonts w:hint="default" w:ascii="Times New Roman" w:hAnsi="Times New Roman" w:eastAsia="Times New Roman" w:cs="Times New Roman"/>
          <w:b/>
          <w:bCs/>
          <w:color w:val="333333"/>
          <w:sz w:val="28"/>
          <w:szCs w:val="28"/>
          <w:lang w:eastAsia="ru-RU"/>
        </w:rPr>
        <w:t xml:space="preserve"> и 202</w:t>
      </w:r>
      <w:r>
        <w:rPr>
          <w:rFonts w:hint="default" w:ascii="Times New Roman" w:hAnsi="Times New Roman" w:eastAsia="Times New Roman" w:cs="Times New Roman"/>
          <w:b/>
          <w:bCs/>
          <w:color w:val="333333"/>
          <w:sz w:val="28"/>
          <w:szCs w:val="28"/>
          <w:lang w:val="en-US" w:eastAsia="ru-RU"/>
        </w:rPr>
        <w:t>4</w:t>
      </w:r>
      <w:r>
        <w:rPr>
          <w:rFonts w:hint="default" w:ascii="Times New Roman" w:hAnsi="Times New Roman" w:eastAsia="Times New Roman" w:cs="Times New Roman"/>
          <w:b/>
          <w:bCs/>
          <w:color w:val="333333"/>
          <w:sz w:val="28"/>
          <w:szCs w:val="28"/>
          <w:lang w:eastAsia="ru-RU"/>
        </w:rPr>
        <w:t xml:space="preserve"> годов</w:t>
      </w:r>
      <w:r>
        <w:rPr>
          <w:rFonts w:ascii="Arial" w:hAnsi="Arial" w:eastAsia="Times New Roman" w:cs="Arial"/>
          <w:color w:val="333333"/>
          <w:sz w:val="20"/>
          <w:szCs w:val="20"/>
          <w:lang w:eastAsia="ru-RU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Администрация сельского поселения «Галкинское» (далее - сельское поселение):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1)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до 1 августа: разрабатывает прогноз поступлений доходов в бюджет сельского поселения на 20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22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год и на плановый период 202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3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и 202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4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годов (далее - на 20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22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год и плановый период);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2)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до 20 августа: - осуществляет расчеты объема бюджетных ассигнований бюджета сельского поселения на исполнение действующих и принимаемых расходных обязательств; - доводит до субъектов бюджетного планирования предельные объемы бюджетных ассигнований на 20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22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год и плановый период; - разрабатывает проекты программ муниципальных заимствований и муниципальных гарантий бюджета сельского поселения на 20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22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год и плановый период;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3)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до 2 октября: - рассматривает несогласованные вопросы по бюджету с субъектами бюджетного планирования. 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Субъекты бюджетного планирования представляют в администрацию сельского поселения: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1)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до 1 августа: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sz w:val="28"/>
          <w:szCs w:val="28"/>
          <w:lang w:eastAsia="ru-RU"/>
        </w:rPr>
        <w:t>- реестры действующих расходных обязательств на 20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22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год и плановый период;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sz w:val="28"/>
          <w:szCs w:val="28"/>
          <w:lang w:eastAsia="ru-RU"/>
        </w:rPr>
        <w:t>- проекты нормативных правовых актов, предусматривающих установление новых расходных обязательств на 20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22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год и плановый период;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- обоснование потребности в бюджетных ассигнованиях по действующим и принимаемым расходным обязательствам сельского поселения на 20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22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год и плановый период с выделением объемов средств, необходимых для выполнения условий софинансирования расходных обязательств с краевым бюджетом;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2)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до 15 сентября: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- распределение предельного объема бюджетных ассигнований бюджета сельского поселения на 20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22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год и плановый период по целевым статьям (муниципальным программам сельского поселения и непрограммным направлениям деятельности), группам видов расходов, разделам, подразделам классификации расходов бюджетов;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- цели и условия предоставления субсидий, категории и (или) критерии отбора юридических лиц (за исключением муниципальных учреждений), индивидуальных предпринимателей, физическим лицам-производителям товаров, работ и услуг;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sz w:val="28"/>
          <w:szCs w:val="28"/>
          <w:lang w:eastAsia="ru-RU"/>
        </w:rPr>
        <w:t>- цели и условия предоставления субсидий некоммерческим организациям, не являющимся автономными и бюджетными учреждениями; - прогнозный объем средств краевого бюджета, планируемый к получению в 20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22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году и плановом периоде;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3)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до 15 октября: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sz w:val="28"/>
          <w:szCs w:val="28"/>
          <w:lang w:eastAsia="ru-RU"/>
        </w:rPr>
        <w:t>- перечень объектов капитального строительства муниципальной собственности сельского поселения при осуществлении бюджетных инвестиций из бюджета сельского поселения на 20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22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год и плановый период с приложением решений администрации сельского поселения о подготовке и реализации бюджетных инвестиций из бюджета сельского поселения в форме капитальных вложений в объекты капитального строительства муниципальной собственности сельского поселения;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- проекты изменений в паспорта муниципальных программ сельского поселения. 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sz w:val="28"/>
          <w:szCs w:val="28"/>
          <w:lang w:eastAsia="ru-RU"/>
        </w:rPr>
        <w:t>Субъекты бюджетного планирования (ответственные исполнители муниципальных программ) представляют в администрацию сельского поселения: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1)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до 10 октября: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sz w:val="28"/>
          <w:szCs w:val="28"/>
          <w:lang w:eastAsia="ru-RU"/>
        </w:rPr>
        <w:t>- распределение в разрезе муниципальных программ сельского поселения предельного объема бюджетных ассигнований бюджета сельского поселения на 20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22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год и плановый период и прогнозируемые значения целевых индикаторов, показателей задач муниципальных программ сельского поселения по формам в соответствии с приложениями к Порядку разработки, реализации и проведения оценки эффективности муниципальных программ сельского поселения, утвержденным постановлением администрации поселения от 27.06.2016 № 25 "Об утверждении Положения о порядке принятия решений о разработке муниципальных программ сельского поселения «Галкинское» и их формировании и реализации.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eastAsia="ru-RU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eastAsia="ru-RU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eastAsia="ru-RU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eastAsia="ru-RU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eastAsia="ru-RU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sz w:val="20"/>
          <w:szCs w:val="20"/>
          <w:lang w:eastAsia="ru-RU"/>
        </w:rPr>
      </w:pPr>
      <w:r>
        <w:rPr>
          <w:rFonts w:hint="default" w:ascii="Times New Roman" w:hAnsi="Times New Roman" w:cs="Times New Roman"/>
          <w:sz w:val="20"/>
          <w:szCs w:val="20"/>
          <w:lang w:eastAsia="ru-RU"/>
        </w:rPr>
        <w:t>Приложение 2 к постановлению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sz w:val="20"/>
          <w:szCs w:val="20"/>
          <w:lang w:eastAsia="ru-RU"/>
        </w:rPr>
      </w:pPr>
      <w:r>
        <w:rPr>
          <w:rFonts w:hint="default" w:ascii="Times New Roman" w:hAnsi="Times New Roman" w:cs="Times New Roman"/>
          <w:sz w:val="20"/>
          <w:szCs w:val="20"/>
          <w:lang w:eastAsia="ru-RU"/>
        </w:rPr>
        <w:t>администрации сельского поселения «Галкинское»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sz w:val="20"/>
          <w:szCs w:val="20"/>
          <w:lang w:val="en-US" w:eastAsia="ru-RU"/>
        </w:rPr>
      </w:pPr>
      <w:r>
        <w:rPr>
          <w:rFonts w:hint="default" w:ascii="Times New Roman" w:hAnsi="Times New Roman" w:cs="Times New Roman"/>
          <w:sz w:val="20"/>
          <w:szCs w:val="20"/>
          <w:lang w:eastAsia="ru-RU"/>
        </w:rPr>
        <w:t xml:space="preserve">от </w:t>
      </w:r>
      <w:r>
        <w:rPr>
          <w:rFonts w:hint="default" w:ascii="Times New Roman" w:hAnsi="Times New Roman" w:cs="Times New Roman"/>
          <w:sz w:val="20"/>
          <w:szCs w:val="20"/>
          <w:lang w:val="en-US" w:eastAsia="ru-RU"/>
        </w:rPr>
        <w:t xml:space="preserve"> 22 июня </w:t>
      </w:r>
      <w:r>
        <w:rPr>
          <w:rFonts w:hint="default" w:ascii="Times New Roman" w:hAnsi="Times New Roman" w:cs="Times New Roman"/>
          <w:sz w:val="20"/>
          <w:szCs w:val="20"/>
          <w:lang w:eastAsia="ru-RU"/>
        </w:rPr>
        <w:t>20</w:t>
      </w:r>
      <w:r>
        <w:rPr>
          <w:rFonts w:hint="default" w:ascii="Times New Roman" w:hAnsi="Times New Roman" w:cs="Times New Roman"/>
          <w:sz w:val="20"/>
          <w:szCs w:val="20"/>
          <w:lang w:val="en-US" w:eastAsia="ru-RU"/>
        </w:rPr>
        <w:t>21</w:t>
      </w:r>
      <w:r>
        <w:rPr>
          <w:rFonts w:hint="default" w:ascii="Times New Roman" w:hAnsi="Times New Roman" w:cs="Times New Roman"/>
          <w:sz w:val="20"/>
          <w:szCs w:val="20"/>
          <w:lang w:eastAsia="ru-RU"/>
        </w:rPr>
        <w:t xml:space="preserve"> № </w:t>
      </w:r>
      <w:r>
        <w:rPr>
          <w:rFonts w:hint="default" w:ascii="Times New Roman" w:hAnsi="Times New Roman" w:cs="Times New Roman"/>
          <w:sz w:val="20"/>
          <w:szCs w:val="20"/>
          <w:lang w:val="en-US" w:eastAsia="ru-RU"/>
        </w:rPr>
        <w:t>25</w:t>
      </w:r>
    </w:p>
    <w:p>
      <w:pPr>
        <w:pStyle w:val="5"/>
        <w:numPr>
          <w:ilvl w:val="0"/>
          <w:numId w:val="0"/>
        </w:numPr>
        <w:bidi w:val="0"/>
        <w:ind w:left="70" w:leftChars="0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Информация, предоставляемая главными администраторами доходов бюджета сельского поселения «Галкинское» в администрацию сельского поселения «Галкинское» для формирования проекта бюджета на 20</w:t>
      </w:r>
      <w:r>
        <w:rPr>
          <w:rFonts w:hint="default"/>
          <w:b/>
          <w:bCs/>
          <w:sz w:val="28"/>
          <w:szCs w:val="28"/>
          <w:lang w:val="en-US" w:eastAsia="ru-RU"/>
        </w:rPr>
        <w:t>22</w:t>
      </w:r>
      <w:r>
        <w:rPr>
          <w:b/>
          <w:bCs/>
          <w:sz w:val="28"/>
          <w:szCs w:val="28"/>
          <w:lang w:eastAsia="ru-RU"/>
        </w:rPr>
        <w:t xml:space="preserve"> год и на плановый период 202</w:t>
      </w:r>
      <w:r>
        <w:rPr>
          <w:rFonts w:hint="default"/>
          <w:b/>
          <w:bCs/>
          <w:sz w:val="28"/>
          <w:szCs w:val="28"/>
          <w:lang w:val="en-US" w:eastAsia="ru-RU"/>
        </w:rPr>
        <w:t>3</w:t>
      </w:r>
      <w:r>
        <w:rPr>
          <w:b/>
          <w:bCs/>
          <w:sz w:val="28"/>
          <w:szCs w:val="28"/>
          <w:lang w:eastAsia="ru-RU"/>
        </w:rPr>
        <w:t xml:space="preserve"> и 202</w:t>
      </w:r>
      <w:r>
        <w:rPr>
          <w:rFonts w:hint="default"/>
          <w:b/>
          <w:bCs/>
          <w:sz w:val="28"/>
          <w:szCs w:val="28"/>
          <w:lang w:val="en-US" w:eastAsia="ru-RU"/>
        </w:rPr>
        <w:t>4</w:t>
      </w:r>
      <w:r>
        <w:rPr>
          <w:b/>
          <w:bCs/>
          <w:sz w:val="28"/>
          <w:szCs w:val="28"/>
          <w:lang w:eastAsia="ru-RU"/>
        </w:rPr>
        <w:t xml:space="preserve"> годов </w:t>
      </w:r>
    </w:p>
    <w:tbl>
      <w:tblPr>
        <w:tblStyle w:val="10"/>
        <w:tblW w:w="957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3"/>
        <w:gridCol w:w="4182"/>
        <w:gridCol w:w="2393"/>
        <w:gridCol w:w="23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3" w:type="dxa"/>
          </w:tcPr>
          <w:p>
            <w:pPr>
              <w:pStyle w:val="5"/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  <w:t>№</w:t>
            </w:r>
          </w:p>
          <w:p>
            <w:pPr>
              <w:pStyle w:val="5"/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  <w:t>п/п</w:t>
            </w:r>
          </w:p>
        </w:tc>
        <w:tc>
          <w:tcPr>
            <w:tcW w:w="4182" w:type="dxa"/>
          </w:tcPr>
          <w:p>
            <w:pPr>
              <w:pStyle w:val="5"/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  <w:t>Наименование информации</w:t>
            </w:r>
          </w:p>
        </w:tc>
        <w:tc>
          <w:tcPr>
            <w:tcW w:w="2393" w:type="dxa"/>
          </w:tcPr>
          <w:p>
            <w:pPr>
              <w:pStyle w:val="5"/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  <w:t>Периоды</w:t>
            </w:r>
          </w:p>
        </w:tc>
        <w:tc>
          <w:tcPr>
            <w:tcW w:w="2393" w:type="dxa"/>
          </w:tcPr>
          <w:p>
            <w:pPr>
              <w:pStyle w:val="5"/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  <w:t>Исполнители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9" w:hRule="atLeast"/>
        </w:trPr>
        <w:tc>
          <w:tcPr>
            <w:tcW w:w="603" w:type="dxa"/>
          </w:tcPr>
          <w:p>
            <w:pPr>
              <w:pStyle w:val="5"/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/>
                <w:lang w:val="en-US" w:eastAsia="ru-RU"/>
              </w:rPr>
            </w:pPr>
            <w:r>
              <w:rPr>
                <w:rFonts w:hint="default"/>
                <w:lang w:val="en-US" w:eastAsia="ru-RU"/>
              </w:rPr>
              <w:t>1.</w:t>
            </w:r>
          </w:p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</w:p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</w:p>
        </w:tc>
        <w:tc>
          <w:tcPr>
            <w:tcW w:w="4182" w:type="dxa"/>
          </w:tcPr>
          <w:p>
            <w:pPr>
              <w:pStyle w:val="5"/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  <w:t>Прогноз налогов, администрируемых налоговыми органами</w:t>
            </w:r>
          </w:p>
        </w:tc>
        <w:tc>
          <w:tcPr>
            <w:tcW w:w="2393" w:type="dxa"/>
          </w:tcPr>
          <w:p>
            <w:pPr>
              <w:pStyle w:val="5"/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  <w:t>2022,2023,2024 годы</w:t>
            </w:r>
          </w:p>
        </w:tc>
        <w:tc>
          <w:tcPr>
            <w:tcW w:w="2393" w:type="dxa"/>
            <w:vMerge w:val="restart"/>
          </w:tcPr>
          <w:p>
            <w:pPr>
              <w:pStyle w:val="5"/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  <w:t>Межрайонная ИФНС России №7 по Забайкальскому краю (по согласованию)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603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  <w:t>2.</w:t>
            </w:r>
          </w:p>
        </w:tc>
        <w:tc>
          <w:tcPr>
            <w:tcW w:w="4182" w:type="dxa"/>
          </w:tcPr>
          <w:p>
            <w:pPr>
              <w:pStyle w:val="5"/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  <w:t>Оценка поступлений налогов, администруемых налоговыми органами</w:t>
            </w:r>
          </w:p>
        </w:tc>
        <w:tc>
          <w:tcPr>
            <w:tcW w:w="2393" w:type="dxa"/>
          </w:tcPr>
          <w:p>
            <w:pPr>
              <w:pStyle w:val="5"/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  <w:t>2022</w:t>
            </w:r>
            <w:bookmarkStart w:id="0" w:name="_GoBack"/>
            <w:bookmarkEnd w:id="0"/>
          </w:p>
        </w:tc>
        <w:tc>
          <w:tcPr>
            <w:tcW w:w="2393" w:type="dxa"/>
            <w:vMerge w:val="continue"/>
          </w:tcPr>
          <w:p>
            <w:pPr>
              <w:pStyle w:val="5"/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3" w:type="dxa"/>
          </w:tcPr>
          <w:p>
            <w:pPr>
              <w:pStyle w:val="5"/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  <w:t>3.</w:t>
            </w:r>
          </w:p>
        </w:tc>
        <w:tc>
          <w:tcPr>
            <w:tcW w:w="4182" w:type="dxa"/>
          </w:tcPr>
          <w:p>
            <w:pPr>
              <w:pStyle w:val="5"/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  <w:t>Прогноз социально-экономического развития сельского поселения</w:t>
            </w:r>
          </w:p>
        </w:tc>
        <w:tc>
          <w:tcPr>
            <w:tcW w:w="2393" w:type="dxa"/>
          </w:tcPr>
          <w:p>
            <w:pPr>
              <w:pStyle w:val="5"/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  <w:t>2022,2023,2024годы</w:t>
            </w:r>
          </w:p>
        </w:tc>
        <w:tc>
          <w:tcPr>
            <w:tcW w:w="2393" w:type="dxa"/>
            <w:vMerge w:val="restart"/>
          </w:tcPr>
          <w:p>
            <w:pPr>
              <w:pStyle w:val="5"/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/>
                <w:b w:val="0"/>
                <w:bCs w:val="0"/>
                <w:lang w:val="en-US" w:eastAsia="ru-RU"/>
              </w:rPr>
            </w:pPr>
            <w:r>
              <w:rPr>
                <w:rFonts w:hint="default"/>
                <w:b w:val="0"/>
                <w:bCs w:val="0"/>
                <w:lang w:val="en-US" w:eastAsia="ru-RU"/>
              </w:rPr>
              <w:t>Комитет экономики администрации муниципального района «Шилкинский район»</w:t>
            </w:r>
          </w:p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</w:p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3" w:hRule="atLeast"/>
        </w:trPr>
        <w:tc>
          <w:tcPr>
            <w:tcW w:w="603" w:type="dxa"/>
          </w:tcPr>
          <w:p>
            <w:pPr>
              <w:pStyle w:val="5"/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/>
                <w:b w:val="0"/>
                <w:bCs w:val="0"/>
                <w:lang w:val="en-US" w:eastAsia="ru-RU"/>
              </w:rPr>
            </w:pPr>
            <w:r>
              <w:rPr>
                <w:rFonts w:hint="default"/>
                <w:b w:val="0"/>
                <w:bCs w:val="0"/>
                <w:lang w:val="en-US" w:eastAsia="ru-RU"/>
              </w:rPr>
              <w:t>4.</w:t>
            </w:r>
          </w:p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</w:p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</w:p>
        </w:tc>
        <w:tc>
          <w:tcPr>
            <w:tcW w:w="4182" w:type="dxa"/>
          </w:tcPr>
          <w:p>
            <w:pPr>
              <w:pStyle w:val="5"/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/>
                <w:b w:val="0"/>
                <w:bCs w:val="0"/>
                <w:lang w:val="en-US" w:eastAsia="ru-RU"/>
              </w:rPr>
            </w:pPr>
            <w:r>
              <w:rPr>
                <w:rFonts w:hint="default"/>
                <w:b w:val="0"/>
                <w:bCs w:val="0"/>
                <w:lang w:val="en-US" w:eastAsia="ru-RU"/>
              </w:rPr>
              <w:t>Прогноз налогооблагаемый базы (доходы, уменьшение на величину) для расчета единого сельскохозяйственного налога</w:t>
            </w:r>
          </w:p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</w:p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</w:p>
        </w:tc>
        <w:tc>
          <w:tcPr>
            <w:tcW w:w="2393" w:type="dxa"/>
          </w:tcPr>
          <w:p>
            <w:pPr>
              <w:pStyle w:val="5"/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  <w:t>2022,2023,2024 годы</w:t>
            </w:r>
          </w:p>
        </w:tc>
        <w:tc>
          <w:tcPr>
            <w:tcW w:w="2393" w:type="dxa"/>
            <w:vMerge w:val="continue"/>
          </w:tcPr>
          <w:p>
            <w:pPr>
              <w:pStyle w:val="5"/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</w:trPr>
        <w:tc>
          <w:tcPr>
            <w:tcW w:w="603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  <w:t>5.</w:t>
            </w:r>
          </w:p>
        </w:tc>
        <w:tc>
          <w:tcPr>
            <w:tcW w:w="4182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  <w:t>Оценка налогооблагаемой базы (доходы, уменьшенные на величину расходов) для расчета единого сельскохозяйственного налога</w:t>
            </w:r>
          </w:p>
        </w:tc>
        <w:tc>
          <w:tcPr>
            <w:tcW w:w="2393" w:type="dxa"/>
          </w:tcPr>
          <w:p>
            <w:pPr>
              <w:pStyle w:val="5"/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  <w:t>2021 год</w:t>
            </w:r>
          </w:p>
        </w:tc>
        <w:tc>
          <w:tcPr>
            <w:tcW w:w="2393" w:type="dxa"/>
            <w:vMerge w:val="continue"/>
          </w:tcPr>
          <w:p>
            <w:pPr>
              <w:pStyle w:val="5"/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9" w:hRule="atLeast"/>
        </w:trPr>
        <w:tc>
          <w:tcPr>
            <w:tcW w:w="603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  <w:t>6.</w:t>
            </w:r>
          </w:p>
        </w:tc>
        <w:tc>
          <w:tcPr>
            <w:tcW w:w="4182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  <w:t>Прогноз фонда заработной платы по сельскому поселению</w:t>
            </w:r>
          </w:p>
        </w:tc>
        <w:tc>
          <w:tcPr>
            <w:tcW w:w="2393" w:type="dxa"/>
          </w:tcPr>
          <w:p>
            <w:pPr>
              <w:pStyle w:val="5"/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  <w:t>2022,2023, 2024 годы</w:t>
            </w:r>
          </w:p>
        </w:tc>
        <w:tc>
          <w:tcPr>
            <w:tcW w:w="2393" w:type="dxa"/>
            <w:vMerge w:val="continue"/>
          </w:tcPr>
          <w:p>
            <w:pPr>
              <w:pStyle w:val="5"/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03" w:type="dxa"/>
          </w:tcPr>
          <w:p>
            <w:pPr>
              <w:pStyle w:val="5"/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  <w:t>7.</w:t>
            </w:r>
          </w:p>
        </w:tc>
        <w:tc>
          <w:tcPr>
            <w:tcW w:w="4182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  <w:t>Оценка фонда заработной платы по сельскому поселению</w:t>
            </w:r>
          </w:p>
        </w:tc>
        <w:tc>
          <w:tcPr>
            <w:tcW w:w="2393" w:type="dxa"/>
          </w:tcPr>
          <w:p>
            <w:pPr>
              <w:pStyle w:val="5"/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  <w:t>2021 год</w:t>
            </w:r>
          </w:p>
        </w:tc>
        <w:tc>
          <w:tcPr>
            <w:tcW w:w="2393" w:type="dxa"/>
            <w:vMerge w:val="continue"/>
          </w:tcPr>
          <w:p>
            <w:pPr>
              <w:pStyle w:val="5"/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603" w:type="dxa"/>
          </w:tcPr>
          <w:p>
            <w:pPr>
              <w:pStyle w:val="5"/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  <w:t>8.</w:t>
            </w:r>
          </w:p>
        </w:tc>
        <w:tc>
          <w:tcPr>
            <w:tcW w:w="4182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  <w:t>Прогноз поступлений арендной платы за землю после разграничения государственной собственности на землю в разрезе категорий земель с соответствующими обоснованиями (кадастровая стоимость земельных участков, сдаваемых в аренду, ставки)с учетом земель, находящихся в собственности муниципального района, сельских поселений</w:t>
            </w:r>
          </w:p>
        </w:tc>
        <w:tc>
          <w:tcPr>
            <w:tcW w:w="2393" w:type="dxa"/>
          </w:tcPr>
          <w:p>
            <w:pPr>
              <w:pStyle w:val="5"/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  <w:t>2022,2023,2024 годы</w:t>
            </w:r>
          </w:p>
        </w:tc>
        <w:tc>
          <w:tcPr>
            <w:tcW w:w="2393" w:type="dxa"/>
            <w:vMerge w:val="restart"/>
          </w:tcPr>
          <w:p>
            <w:pPr>
              <w:pStyle w:val="5"/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  <w:t>Администрация сельского поселения «Галкинское»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6" w:hRule="atLeast"/>
        </w:trPr>
        <w:tc>
          <w:tcPr>
            <w:tcW w:w="603" w:type="dxa"/>
          </w:tcPr>
          <w:p>
            <w:pPr>
              <w:pStyle w:val="5"/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  <w:t>9.</w:t>
            </w:r>
          </w:p>
        </w:tc>
        <w:tc>
          <w:tcPr>
            <w:tcW w:w="4182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  <w:t>Оценка поступления арендной платы за землю после разграничения государственной собственности на землю в разрезе категорий земель с соответствующими обоснованиями (кадастровая стоимость земельных участков, сдаваемых в аренду, ставки) с учетом земель, находящихся в собственности муниципального района, сельских поселений</w:t>
            </w:r>
          </w:p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</w:p>
        </w:tc>
        <w:tc>
          <w:tcPr>
            <w:tcW w:w="2393" w:type="dxa"/>
          </w:tcPr>
          <w:p>
            <w:pPr>
              <w:pStyle w:val="5"/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  <w:t>2021 год</w:t>
            </w:r>
          </w:p>
        </w:tc>
        <w:tc>
          <w:tcPr>
            <w:tcW w:w="2393" w:type="dxa"/>
            <w:vMerge w:val="continue"/>
          </w:tcPr>
          <w:p>
            <w:pPr>
              <w:pStyle w:val="5"/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603" w:type="dxa"/>
          </w:tcPr>
          <w:p>
            <w:pPr>
              <w:pStyle w:val="5"/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  <w:t>10.</w:t>
            </w:r>
          </w:p>
        </w:tc>
        <w:tc>
          <w:tcPr>
            <w:tcW w:w="4182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  <w:t>Прогноз поступлений от продажи земельных участков, находящихся в собственности поселения</w:t>
            </w:r>
          </w:p>
        </w:tc>
        <w:tc>
          <w:tcPr>
            <w:tcW w:w="2393" w:type="dxa"/>
          </w:tcPr>
          <w:p>
            <w:pPr>
              <w:pStyle w:val="5"/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  <w:t>2022,2023,2024 годы</w:t>
            </w:r>
          </w:p>
        </w:tc>
        <w:tc>
          <w:tcPr>
            <w:tcW w:w="2393" w:type="dxa"/>
            <w:vMerge w:val="continue"/>
          </w:tcPr>
          <w:p>
            <w:pPr>
              <w:pStyle w:val="5"/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603" w:type="dxa"/>
          </w:tcPr>
          <w:p>
            <w:pPr>
              <w:pStyle w:val="5"/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  <w:t>11.</w:t>
            </w:r>
          </w:p>
        </w:tc>
        <w:tc>
          <w:tcPr>
            <w:tcW w:w="4182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  <w:t>Оценка поступлений от продажи земельных участков, находящихся в собственности поселения</w:t>
            </w:r>
          </w:p>
        </w:tc>
        <w:tc>
          <w:tcPr>
            <w:tcW w:w="2393" w:type="dxa"/>
          </w:tcPr>
          <w:p>
            <w:pPr>
              <w:pStyle w:val="5"/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  <w:t>2021</w:t>
            </w:r>
          </w:p>
        </w:tc>
        <w:tc>
          <w:tcPr>
            <w:tcW w:w="2393" w:type="dxa"/>
            <w:vMerge w:val="continue"/>
          </w:tcPr>
          <w:p>
            <w:pPr>
              <w:pStyle w:val="5"/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603" w:type="dxa"/>
          </w:tcPr>
          <w:p>
            <w:pPr>
              <w:pStyle w:val="5"/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  <w:t>12.</w:t>
            </w:r>
          </w:p>
        </w:tc>
        <w:tc>
          <w:tcPr>
            <w:tcW w:w="4182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  <w:t>Прогноз доходов от сдачи в аренду имущества, находящегося в оперативном управлении органов местного самоуправления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393" w:type="dxa"/>
          </w:tcPr>
          <w:p>
            <w:pPr>
              <w:pStyle w:val="5"/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 w:cs="Times New Roman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  <w:t>2022,2023,2024 годы</w:t>
            </w:r>
          </w:p>
        </w:tc>
        <w:tc>
          <w:tcPr>
            <w:tcW w:w="2393" w:type="dxa"/>
            <w:vMerge w:val="continue"/>
          </w:tcPr>
          <w:p>
            <w:pPr>
              <w:pStyle w:val="5"/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603" w:type="dxa"/>
          </w:tcPr>
          <w:p>
            <w:pPr>
              <w:pStyle w:val="5"/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  <w:t>13.</w:t>
            </w:r>
          </w:p>
        </w:tc>
        <w:tc>
          <w:tcPr>
            <w:tcW w:w="4182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  <w:t>Оценка доходов от сдачи в аренду имущества, находящегося в оперативном управлении органов местного самоуправления поселений и созданных ими учреждений</w:t>
            </w:r>
          </w:p>
        </w:tc>
        <w:tc>
          <w:tcPr>
            <w:tcW w:w="2393" w:type="dxa"/>
          </w:tcPr>
          <w:p>
            <w:pPr>
              <w:pStyle w:val="5"/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</w:p>
        </w:tc>
        <w:tc>
          <w:tcPr>
            <w:tcW w:w="2393" w:type="dxa"/>
          </w:tcPr>
          <w:p>
            <w:pPr>
              <w:pStyle w:val="5"/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603" w:type="dxa"/>
          </w:tcPr>
          <w:p>
            <w:pPr>
              <w:pStyle w:val="5"/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  <w:t>14.</w:t>
            </w:r>
          </w:p>
        </w:tc>
        <w:tc>
          <w:tcPr>
            <w:tcW w:w="4182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  <w:t>Прогноз доходов от сдачи в аренду имущества, составляющего казну сельского поселения</w:t>
            </w:r>
          </w:p>
        </w:tc>
        <w:tc>
          <w:tcPr>
            <w:tcW w:w="2393" w:type="dxa"/>
          </w:tcPr>
          <w:p>
            <w:pPr>
              <w:pStyle w:val="5"/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 w:cs="Times New Roman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  <w:t>2022,2023,2024 годы</w:t>
            </w:r>
          </w:p>
        </w:tc>
        <w:tc>
          <w:tcPr>
            <w:tcW w:w="2393" w:type="dxa"/>
          </w:tcPr>
          <w:p>
            <w:pPr>
              <w:pStyle w:val="5"/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603" w:type="dxa"/>
          </w:tcPr>
          <w:p>
            <w:pPr>
              <w:pStyle w:val="5"/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  <w:t>15.</w:t>
            </w:r>
          </w:p>
        </w:tc>
        <w:tc>
          <w:tcPr>
            <w:tcW w:w="4182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  <w:t>Оценка доходов от сдачи в аренду имущества,  составляющего казну сельского поселения «Галкинское»</w:t>
            </w:r>
          </w:p>
        </w:tc>
        <w:tc>
          <w:tcPr>
            <w:tcW w:w="2393" w:type="dxa"/>
          </w:tcPr>
          <w:p>
            <w:pPr>
              <w:pStyle w:val="5"/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 w:cs="Times New Roman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  <w:t>2021 год</w:t>
            </w:r>
          </w:p>
        </w:tc>
        <w:tc>
          <w:tcPr>
            <w:tcW w:w="2393" w:type="dxa"/>
          </w:tcPr>
          <w:p>
            <w:pPr>
              <w:pStyle w:val="5"/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603" w:type="dxa"/>
          </w:tcPr>
          <w:p>
            <w:pPr>
              <w:pStyle w:val="5"/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  <w:t>16.</w:t>
            </w:r>
          </w:p>
        </w:tc>
        <w:tc>
          <w:tcPr>
            <w:tcW w:w="4182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  <w:t>Прогноз доходов от реализации имущества, находящегося в оперативном управлении учреждений, находящихся в ведении органов местного самоуправления поселений (за исключений имущества муниципальных бюджетных и автономных учреждений), в части реализации основных средств по указанному имуществу.</w:t>
            </w:r>
          </w:p>
        </w:tc>
        <w:tc>
          <w:tcPr>
            <w:tcW w:w="2393" w:type="dxa"/>
          </w:tcPr>
          <w:p>
            <w:pPr>
              <w:pStyle w:val="5"/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 w:cs="Times New Roman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  <w:t>2022,2023,2024 годы</w:t>
            </w:r>
          </w:p>
        </w:tc>
        <w:tc>
          <w:tcPr>
            <w:tcW w:w="2393" w:type="dxa"/>
          </w:tcPr>
          <w:p>
            <w:pPr>
              <w:pStyle w:val="5"/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603" w:type="dxa"/>
          </w:tcPr>
          <w:p>
            <w:pPr>
              <w:pStyle w:val="5"/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  <w:t>17.</w:t>
            </w:r>
          </w:p>
        </w:tc>
        <w:tc>
          <w:tcPr>
            <w:tcW w:w="4182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  <w:t>Оценка доходов от реализации имущества, находящегося в оперативном управлении учреждении, находящихся в ведении органов местного самоуправления поселений (за исключением имущества муниципальных бюджетных автономных учреждений), в части реализации основных средств по указанному имуществу</w:t>
            </w:r>
          </w:p>
        </w:tc>
        <w:tc>
          <w:tcPr>
            <w:tcW w:w="2393" w:type="dxa"/>
          </w:tcPr>
          <w:p>
            <w:pPr>
              <w:pStyle w:val="5"/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 w:cs="Times New Roman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 w:cs="Times New Roman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  <w:t>2021 год</w:t>
            </w:r>
          </w:p>
        </w:tc>
        <w:tc>
          <w:tcPr>
            <w:tcW w:w="2393" w:type="dxa"/>
          </w:tcPr>
          <w:p>
            <w:pPr>
              <w:pStyle w:val="5"/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603" w:type="dxa"/>
          </w:tcPr>
          <w:p>
            <w:pPr>
              <w:pStyle w:val="5"/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  <w:t>18.</w:t>
            </w:r>
          </w:p>
        </w:tc>
        <w:tc>
          <w:tcPr>
            <w:tcW w:w="4182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  <w:t>Прогноз доходов от реализации имущества, находящегося в оперативном управлении учреждений, находящихся в ведении органов местного самоуправления поселений(за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  <w:tc>
          <w:tcPr>
            <w:tcW w:w="2393" w:type="dxa"/>
          </w:tcPr>
          <w:p>
            <w:pPr>
              <w:pStyle w:val="5"/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 w:cs="Times New Roman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</w:p>
        </w:tc>
        <w:tc>
          <w:tcPr>
            <w:tcW w:w="2393" w:type="dxa"/>
          </w:tcPr>
          <w:p>
            <w:pPr>
              <w:pStyle w:val="5"/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603" w:type="dxa"/>
          </w:tcPr>
          <w:p>
            <w:pPr>
              <w:pStyle w:val="5"/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  <w:t>19.</w:t>
            </w:r>
          </w:p>
        </w:tc>
        <w:tc>
          <w:tcPr>
            <w:tcW w:w="4182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  <w:t>Оценка дохов от реализации имущества, находящегося в оперативном управлении учреждений, находящихся в ведении органов местного самоуправления поселений(за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  <w:tc>
          <w:tcPr>
            <w:tcW w:w="2393" w:type="dxa"/>
          </w:tcPr>
          <w:p>
            <w:pPr>
              <w:pStyle w:val="5"/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 w:cs="Times New Roman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 w:cs="Times New Roman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  <w:t>2021</w:t>
            </w:r>
          </w:p>
        </w:tc>
        <w:tc>
          <w:tcPr>
            <w:tcW w:w="2393" w:type="dxa"/>
          </w:tcPr>
          <w:p>
            <w:pPr>
              <w:pStyle w:val="5"/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603" w:type="dxa"/>
          </w:tcPr>
          <w:p>
            <w:pPr>
              <w:pStyle w:val="5"/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  <w:t>20.</w:t>
            </w:r>
          </w:p>
        </w:tc>
        <w:tc>
          <w:tcPr>
            <w:tcW w:w="4182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  <w:t>Прогноз доходов от реализации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393" w:type="dxa"/>
          </w:tcPr>
          <w:p>
            <w:pPr>
              <w:pStyle w:val="5"/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 w:cs="Times New Roman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 w:cs="Times New Roman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  <w:t>2022,2023,2024 годы</w:t>
            </w:r>
          </w:p>
        </w:tc>
        <w:tc>
          <w:tcPr>
            <w:tcW w:w="2393" w:type="dxa"/>
          </w:tcPr>
          <w:p>
            <w:pPr>
              <w:pStyle w:val="5"/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603" w:type="dxa"/>
          </w:tcPr>
          <w:p>
            <w:pPr>
              <w:pStyle w:val="5"/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  <w:t>21.</w:t>
            </w:r>
          </w:p>
        </w:tc>
        <w:tc>
          <w:tcPr>
            <w:tcW w:w="4182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  <w:t>Оценка доходов от реализации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393" w:type="dxa"/>
          </w:tcPr>
          <w:p>
            <w:pPr>
              <w:pStyle w:val="5"/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 w:cs="Times New Roman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 w:cs="Times New Roman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  <w:t>2021 год</w:t>
            </w:r>
          </w:p>
        </w:tc>
        <w:tc>
          <w:tcPr>
            <w:tcW w:w="2393" w:type="dxa"/>
          </w:tcPr>
          <w:p>
            <w:pPr>
              <w:pStyle w:val="5"/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ru-RU"/>
              </w:rPr>
            </w:pPr>
          </w:p>
        </w:tc>
      </w:tr>
    </w:tbl>
    <w:p>
      <w:pPr>
        <w:pStyle w:val="5"/>
        <w:numPr>
          <w:ilvl w:val="0"/>
          <w:numId w:val="0"/>
        </w:numPr>
        <w:bidi w:val="0"/>
        <w:rPr>
          <w:rFonts w:hint="default"/>
          <w:b w:val="0"/>
          <w:bCs w:val="0"/>
          <w:sz w:val="28"/>
          <w:szCs w:val="28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 w:eastAsia="ru-RU"/>
        </w:rPr>
        <w:t xml:space="preserve"> 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1C10FE3"/>
    <w:multiLevelType w:val="multilevel"/>
    <w:tmpl w:val="F1C10FE3"/>
    <w:lvl w:ilvl="0" w:tentative="0">
      <w:start w:val="1"/>
      <w:numFmt w:val="decimal"/>
      <w:suff w:val="space"/>
      <w:lvlText w:val="%1."/>
      <w:lvlJc w:val="left"/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leftChars="0" w:hanging="420" w:firstLineChars="0"/>
      </w:pPr>
      <w:rPr>
        <w:rFonts w:hint="default"/>
      </w:rPr>
    </w:lvl>
    <w:lvl w:ilvl="2" w:tentative="0">
      <w:start w:val="1"/>
      <w:numFmt w:val="lowerRoman"/>
      <w:lvlText w:val="%3.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Roman"/>
      <w:lvlText w:val="%6.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Roman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abstractNum w:abstractNumId="1">
    <w:nsid w:val="39E85DA3"/>
    <w:multiLevelType w:val="singleLevel"/>
    <w:tmpl w:val="39E85DA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9A4DC7"/>
    <w:rsid w:val="00054D79"/>
    <w:rsid w:val="000D56BF"/>
    <w:rsid w:val="0012707E"/>
    <w:rsid w:val="00141EF6"/>
    <w:rsid w:val="0017396A"/>
    <w:rsid w:val="001A12CD"/>
    <w:rsid w:val="002400FD"/>
    <w:rsid w:val="002768AF"/>
    <w:rsid w:val="002F222A"/>
    <w:rsid w:val="003109F1"/>
    <w:rsid w:val="00315E01"/>
    <w:rsid w:val="0032130F"/>
    <w:rsid w:val="00377052"/>
    <w:rsid w:val="003977F9"/>
    <w:rsid w:val="00401E96"/>
    <w:rsid w:val="00472620"/>
    <w:rsid w:val="004B5595"/>
    <w:rsid w:val="004B6AA5"/>
    <w:rsid w:val="00572BF0"/>
    <w:rsid w:val="00614DE3"/>
    <w:rsid w:val="00696C4A"/>
    <w:rsid w:val="006A635B"/>
    <w:rsid w:val="006A6A0E"/>
    <w:rsid w:val="006D1A2F"/>
    <w:rsid w:val="0074274D"/>
    <w:rsid w:val="007656E8"/>
    <w:rsid w:val="00793186"/>
    <w:rsid w:val="00796F1A"/>
    <w:rsid w:val="007C1359"/>
    <w:rsid w:val="007D561B"/>
    <w:rsid w:val="007E04C2"/>
    <w:rsid w:val="00800677"/>
    <w:rsid w:val="00846B4F"/>
    <w:rsid w:val="008511C5"/>
    <w:rsid w:val="008A28D2"/>
    <w:rsid w:val="008B2C50"/>
    <w:rsid w:val="008C7148"/>
    <w:rsid w:val="0091326C"/>
    <w:rsid w:val="00963422"/>
    <w:rsid w:val="00972E03"/>
    <w:rsid w:val="009A4DC7"/>
    <w:rsid w:val="009A58EF"/>
    <w:rsid w:val="00A0117C"/>
    <w:rsid w:val="00A1439D"/>
    <w:rsid w:val="00A15023"/>
    <w:rsid w:val="00A72C29"/>
    <w:rsid w:val="00AC7109"/>
    <w:rsid w:val="00B174FF"/>
    <w:rsid w:val="00B37679"/>
    <w:rsid w:val="00B60C74"/>
    <w:rsid w:val="00B8446F"/>
    <w:rsid w:val="00C12944"/>
    <w:rsid w:val="00C31516"/>
    <w:rsid w:val="00C43F23"/>
    <w:rsid w:val="00C80152"/>
    <w:rsid w:val="00CB26FA"/>
    <w:rsid w:val="00D25CBB"/>
    <w:rsid w:val="00D43DC7"/>
    <w:rsid w:val="00DB45E2"/>
    <w:rsid w:val="00DF14FF"/>
    <w:rsid w:val="00E4456D"/>
    <w:rsid w:val="00E44E8A"/>
    <w:rsid w:val="00EC74B3"/>
    <w:rsid w:val="00EE08D0"/>
    <w:rsid w:val="00F523B5"/>
    <w:rsid w:val="00F605C5"/>
    <w:rsid w:val="2C31482E"/>
    <w:rsid w:val="3E6C7514"/>
    <w:rsid w:val="4024781C"/>
    <w:rsid w:val="67B546C9"/>
    <w:rsid w:val="72B24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qFormat/>
    <w:uiPriority w:val="9"/>
    <w:pPr>
      <w:keepNext/>
      <w:widowControl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2"/>
    <w:basedOn w:val="1"/>
    <w:next w:val="1"/>
    <w:unhideWhenUsed/>
    <w:qFormat/>
    <w:uiPriority w:val="9"/>
    <w:pPr>
      <w:keepNext/>
      <w:widowControl/>
      <w:spacing w:before="240" w:after="60"/>
      <w:jc w:val="left"/>
      <w:outlineLvl w:val="1"/>
    </w:pPr>
    <w:rPr>
      <w:rFonts w:ascii="Arial" w:hAnsi="Arial" w:cs="Arial"/>
      <w:b/>
      <w:bCs/>
      <w:i/>
      <w:iCs/>
      <w:kern w:val="0"/>
      <w:sz w:val="28"/>
      <w:szCs w:val="28"/>
    </w:rPr>
  </w:style>
  <w:style w:type="paragraph" w:styleId="4">
    <w:name w:val="heading 3"/>
    <w:basedOn w:val="1"/>
    <w:next w:val="1"/>
    <w:unhideWhenUsed/>
    <w:qFormat/>
    <w:uiPriority w:val="9"/>
    <w:pPr>
      <w:keepNext/>
      <w:widowControl/>
      <w:spacing w:before="240" w:after="60"/>
      <w:jc w:val="left"/>
      <w:outlineLvl w:val="2"/>
    </w:pPr>
    <w:rPr>
      <w:rFonts w:ascii="Arial" w:hAnsi="Arial" w:cs="Arial"/>
      <w:b/>
      <w:bCs/>
      <w:kern w:val="0"/>
      <w:sz w:val="26"/>
      <w:szCs w:val="26"/>
    </w:rPr>
  </w:style>
  <w:style w:type="paragraph" w:styleId="5">
    <w:name w:val="heading 4"/>
    <w:basedOn w:val="1"/>
    <w:next w:val="1"/>
    <w:link w:val="11"/>
    <w:qFormat/>
    <w:uiPriority w:val="9"/>
    <w:pPr>
      <w:spacing w:before="100" w:beforeAutospacing="1" w:after="100" w:afterAutospacing="1" w:line="240" w:lineRule="auto"/>
      <w:outlineLvl w:val="3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">
    <w:name w:val="Strong"/>
    <w:basedOn w:val="6"/>
    <w:qFormat/>
    <w:uiPriority w:val="22"/>
    <w:rPr>
      <w:b/>
      <w:bCs/>
    </w:rPr>
  </w:style>
  <w:style w:type="table" w:styleId="10">
    <w:name w:val="Table Grid"/>
    <w:basedOn w:val="7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Заголовок 4 Знак"/>
    <w:basedOn w:val="6"/>
    <w:link w:val="5"/>
    <w:qFormat/>
    <w:uiPriority w:val="9"/>
    <w:rPr>
      <w:rFonts w:ascii="Times New Roman" w:hAnsi="Times New Roman" w:eastAsia="Times New Roman" w:cs="Times New Roman"/>
      <w:b/>
      <w:bCs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1475</Words>
  <Characters>8410</Characters>
  <Lines>70</Lines>
  <Paragraphs>19</Paragraphs>
  <TotalTime>30</TotalTime>
  <ScaleCrop>false</ScaleCrop>
  <LinksUpToDate>false</LinksUpToDate>
  <CharactersWithSpaces>9866</CharactersWithSpaces>
  <Application>WPS Office_11.2.0.10176_F1E327BC-269C-435d-A152-05C5408002CA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2019-08-12T02:46:00Z</dcterms:created>
  <dc:creator>Атлас</dc:creator>
  <cp:lastModifiedBy>васильевна</cp:lastModifiedBy>
  <dcterms:modified xsi:type="dcterms:W3CDTF">2021-06-22T06:40:51Z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1033-11.2.0.10176</vt:lpwstr>
  </property>
</Properties>
</file>